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8220" w14:textId="77777777" w:rsidR="00C71E62" w:rsidRDefault="00000000">
      <w:pPr>
        <w:pBdr>
          <w:top w:val="nil"/>
          <w:left w:val="nil"/>
          <w:bottom w:val="nil"/>
          <w:right w:val="nil"/>
          <w:between w:val="nil"/>
        </w:pBdr>
        <w:rPr>
          <w:color w:val="000000"/>
          <w:sz w:val="22"/>
          <w:szCs w:val="22"/>
        </w:rPr>
      </w:pPr>
      <w:r>
        <w:rPr>
          <w:noProof/>
          <w:color w:val="000000"/>
          <w:sz w:val="22"/>
          <w:szCs w:val="22"/>
        </w:rPr>
        <w:drawing>
          <wp:inline distT="0" distB="0" distL="0" distR="0" wp14:anchorId="5C097F23" wp14:editId="735F443E">
            <wp:extent cx="1432871" cy="62865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32871" cy="628650"/>
                    </a:xfrm>
                    <a:prstGeom prst="rect">
                      <a:avLst/>
                    </a:prstGeom>
                    <a:ln/>
                  </pic:spPr>
                </pic:pic>
              </a:graphicData>
            </a:graphic>
          </wp:inline>
        </w:drawing>
      </w:r>
    </w:p>
    <w:p w14:paraId="3A77DC52" w14:textId="77777777" w:rsidR="00C71E62" w:rsidRDefault="00C71E62">
      <w:pPr>
        <w:pBdr>
          <w:top w:val="nil"/>
          <w:left w:val="nil"/>
          <w:bottom w:val="nil"/>
          <w:right w:val="nil"/>
          <w:between w:val="nil"/>
        </w:pBdr>
        <w:rPr>
          <w:color w:val="000000"/>
          <w:sz w:val="22"/>
          <w:szCs w:val="22"/>
        </w:rPr>
      </w:pPr>
    </w:p>
    <w:p w14:paraId="234C0657" w14:textId="77777777" w:rsidR="00C71E62" w:rsidRDefault="00000000">
      <w:pPr>
        <w:pBdr>
          <w:top w:val="nil"/>
          <w:left w:val="nil"/>
          <w:bottom w:val="nil"/>
          <w:right w:val="nil"/>
          <w:between w:val="nil"/>
        </w:pBdr>
        <w:rPr>
          <w:b/>
          <w:color w:val="000000"/>
          <w:sz w:val="28"/>
          <w:szCs w:val="28"/>
        </w:rPr>
      </w:pPr>
      <w:r>
        <w:rPr>
          <w:b/>
          <w:color w:val="000000"/>
          <w:sz w:val="28"/>
          <w:szCs w:val="28"/>
        </w:rPr>
        <w:t>Programme Specification</w:t>
      </w:r>
    </w:p>
    <w:p w14:paraId="369BF533" w14:textId="77777777" w:rsidR="00C71E62" w:rsidRDefault="00C71E62">
      <w:pPr>
        <w:pBdr>
          <w:top w:val="nil"/>
          <w:left w:val="nil"/>
          <w:bottom w:val="nil"/>
          <w:right w:val="nil"/>
          <w:between w:val="nil"/>
        </w:pBdr>
        <w:jc w:val="center"/>
        <w:rPr>
          <w:b/>
          <w:color w:val="000000"/>
          <w:sz w:val="28"/>
          <w:szCs w:val="28"/>
        </w:rPr>
      </w:pPr>
    </w:p>
    <w:tbl>
      <w:tblPr>
        <w:tblStyle w:val="ae"/>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479B789A" w14:textId="77777777">
        <w:tc>
          <w:tcPr>
            <w:tcW w:w="9010" w:type="dxa"/>
          </w:tcPr>
          <w:p w14:paraId="181A64D8" w14:textId="77777777" w:rsidR="00C71E62" w:rsidRDefault="00000000">
            <w:pPr>
              <w:pBdr>
                <w:top w:val="nil"/>
                <w:left w:val="nil"/>
                <w:bottom w:val="nil"/>
                <w:right w:val="nil"/>
                <w:between w:val="nil"/>
              </w:pBdr>
              <w:rPr>
                <w:color w:val="000000"/>
              </w:rPr>
            </w:pPr>
            <w:r>
              <w:rPr>
                <w:b/>
                <w:color w:val="000000"/>
              </w:rPr>
              <w:t xml:space="preserve">Please note: </w:t>
            </w:r>
            <w:r>
              <w:rPr>
                <w:color w:val="000000"/>
              </w:rPr>
              <w:t>This specification provides a concise summary of the main features of the programme and the learning outcomes that a typical student might reasonably be expected to achieve and demonstrate if he/she passes the programme. More detailed information on the learning outcomes, content and teaching, learning and assessment methods of each unit can be found in the programme handbook. The accuracy of the information contained in this specification is reviewed annually by Activate Learning and may be checked by Pearson as the awarding body.</w:t>
            </w:r>
          </w:p>
        </w:tc>
      </w:tr>
    </w:tbl>
    <w:p w14:paraId="326E8663" w14:textId="77777777" w:rsidR="00C71E62" w:rsidRDefault="00C71E62">
      <w:pPr>
        <w:pBdr>
          <w:top w:val="nil"/>
          <w:left w:val="nil"/>
          <w:bottom w:val="nil"/>
          <w:right w:val="nil"/>
          <w:between w:val="nil"/>
        </w:pBdr>
        <w:jc w:val="center"/>
        <w:rPr>
          <w:color w:val="000000"/>
          <w:sz w:val="28"/>
          <w:szCs w:val="28"/>
        </w:rPr>
      </w:pPr>
    </w:p>
    <w:tbl>
      <w:tblPr>
        <w:tblStyle w:val="af"/>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378B4BD1" w14:textId="77777777" w:rsidTr="6BA15B7B">
        <w:tc>
          <w:tcPr>
            <w:tcW w:w="9010" w:type="dxa"/>
            <w:shd w:val="clear" w:color="auto" w:fill="000000" w:themeFill="text1"/>
          </w:tcPr>
          <w:p w14:paraId="552640A8" w14:textId="41A870BA" w:rsidR="00C71E62" w:rsidRDefault="00000000" w:rsidP="6BA15B7B">
            <w:pPr>
              <w:pBdr>
                <w:top w:val="nil"/>
                <w:left w:val="nil"/>
                <w:bottom w:val="nil"/>
                <w:right w:val="nil"/>
                <w:between w:val="nil"/>
              </w:pBdr>
              <w:jc w:val="center"/>
              <w:rPr>
                <w:b/>
                <w:bCs/>
                <w:color w:val="FFFFFF"/>
                <w:sz w:val="24"/>
                <w:szCs w:val="24"/>
              </w:rPr>
            </w:pPr>
            <w:r w:rsidRPr="6BA15B7B">
              <w:rPr>
                <w:b/>
                <w:bCs/>
                <w:color w:val="FFFFFF" w:themeColor="background1"/>
                <w:sz w:val="24"/>
                <w:szCs w:val="24"/>
              </w:rPr>
              <w:t xml:space="preserve">HNC Community Coaching </w:t>
            </w:r>
            <w:r w:rsidR="3432284F" w:rsidRPr="6BA15B7B">
              <w:rPr>
                <w:b/>
                <w:bCs/>
                <w:color w:val="FFFFFF" w:themeColor="background1"/>
                <w:sz w:val="24"/>
                <w:szCs w:val="24"/>
              </w:rPr>
              <w:t xml:space="preserve">for England </w:t>
            </w:r>
            <w:r w:rsidRPr="6BA15B7B">
              <w:rPr>
                <w:b/>
                <w:bCs/>
                <w:color w:val="FFFFFF" w:themeColor="background1"/>
                <w:sz w:val="24"/>
                <w:szCs w:val="24"/>
              </w:rPr>
              <w:t xml:space="preserve">(HTQ) </w:t>
            </w:r>
          </w:p>
        </w:tc>
      </w:tr>
    </w:tbl>
    <w:p w14:paraId="75E86225" w14:textId="77777777" w:rsidR="00C71E62" w:rsidRDefault="00C71E62">
      <w:pPr>
        <w:pBdr>
          <w:top w:val="nil"/>
          <w:left w:val="nil"/>
          <w:bottom w:val="nil"/>
          <w:right w:val="nil"/>
          <w:between w:val="nil"/>
        </w:pBdr>
        <w:jc w:val="center"/>
        <w:rPr>
          <w:color w:val="000000"/>
          <w:sz w:val="28"/>
          <w:szCs w:val="28"/>
        </w:rPr>
      </w:pPr>
    </w:p>
    <w:tbl>
      <w:tblPr>
        <w:tblStyle w:val="af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8"/>
        <w:gridCol w:w="4308"/>
      </w:tblGrid>
      <w:tr w:rsidR="00C71E62" w14:paraId="6B674A0E" w14:textId="77777777">
        <w:tc>
          <w:tcPr>
            <w:tcW w:w="4618" w:type="dxa"/>
            <w:shd w:val="clear" w:color="auto" w:fill="000000"/>
          </w:tcPr>
          <w:p w14:paraId="6F0A21BF" w14:textId="77777777" w:rsidR="00C71E62" w:rsidRDefault="00000000">
            <w:pPr>
              <w:pBdr>
                <w:top w:val="nil"/>
                <w:left w:val="nil"/>
                <w:bottom w:val="nil"/>
                <w:right w:val="nil"/>
                <w:between w:val="nil"/>
              </w:pBdr>
              <w:rPr>
                <w:b/>
                <w:color w:val="FFFFFF"/>
              </w:rPr>
            </w:pPr>
            <w:r>
              <w:rPr>
                <w:b/>
                <w:color w:val="FFFFFF"/>
              </w:rPr>
              <w:t>Awarding Institution/Body</w:t>
            </w:r>
          </w:p>
        </w:tc>
        <w:tc>
          <w:tcPr>
            <w:tcW w:w="4308" w:type="dxa"/>
          </w:tcPr>
          <w:p w14:paraId="72BD8369" w14:textId="77777777" w:rsidR="00C71E62" w:rsidRDefault="00000000">
            <w:pPr>
              <w:pBdr>
                <w:top w:val="nil"/>
                <w:left w:val="nil"/>
                <w:bottom w:val="nil"/>
                <w:right w:val="nil"/>
                <w:between w:val="nil"/>
              </w:pBdr>
              <w:rPr>
                <w:color w:val="000000"/>
              </w:rPr>
            </w:pPr>
            <w:r>
              <w:rPr>
                <w:color w:val="000000"/>
              </w:rPr>
              <w:t>Pearson</w:t>
            </w:r>
          </w:p>
        </w:tc>
      </w:tr>
      <w:tr w:rsidR="00C71E62" w14:paraId="5BFCD508" w14:textId="77777777">
        <w:tc>
          <w:tcPr>
            <w:tcW w:w="4618" w:type="dxa"/>
            <w:shd w:val="clear" w:color="auto" w:fill="000000"/>
          </w:tcPr>
          <w:p w14:paraId="7490DF1D" w14:textId="77777777" w:rsidR="00C71E62" w:rsidRDefault="00000000">
            <w:pPr>
              <w:pBdr>
                <w:top w:val="nil"/>
                <w:left w:val="nil"/>
                <w:bottom w:val="nil"/>
                <w:right w:val="nil"/>
                <w:between w:val="nil"/>
              </w:pBdr>
              <w:rPr>
                <w:b/>
                <w:color w:val="FFFFFF"/>
              </w:rPr>
            </w:pPr>
            <w:r>
              <w:rPr>
                <w:b/>
                <w:color w:val="FFFFFF"/>
              </w:rPr>
              <w:t>Teaching Institution</w:t>
            </w:r>
          </w:p>
        </w:tc>
        <w:tc>
          <w:tcPr>
            <w:tcW w:w="4308" w:type="dxa"/>
          </w:tcPr>
          <w:p w14:paraId="74CC4841" w14:textId="77777777" w:rsidR="00C71E62" w:rsidRDefault="00000000">
            <w:pPr>
              <w:pBdr>
                <w:top w:val="nil"/>
                <w:left w:val="nil"/>
                <w:bottom w:val="nil"/>
                <w:right w:val="nil"/>
                <w:between w:val="nil"/>
              </w:pBdr>
              <w:rPr>
                <w:color w:val="000000"/>
              </w:rPr>
            </w:pPr>
            <w:r>
              <w:rPr>
                <w:color w:val="000000"/>
              </w:rPr>
              <w:t>Activate Learning</w:t>
            </w:r>
          </w:p>
        </w:tc>
      </w:tr>
      <w:tr w:rsidR="00C71E62" w14:paraId="786C3D26" w14:textId="77777777">
        <w:tc>
          <w:tcPr>
            <w:tcW w:w="4618" w:type="dxa"/>
            <w:shd w:val="clear" w:color="auto" w:fill="000000"/>
          </w:tcPr>
          <w:p w14:paraId="0D8571A5" w14:textId="77777777" w:rsidR="00C71E62" w:rsidRDefault="00000000">
            <w:pPr>
              <w:pBdr>
                <w:top w:val="nil"/>
                <w:left w:val="nil"/>
                <w:bottom w:val="nil"/>
                <w:right w:val="nil"/>
                <w:between w:val="nil"/>
              </w:pBdr>
              <w:rPr>
                <w:b/>
                <w:color w:val="FFFFFF"/>
              </w:rPr>
            </w:pPr>
            <w:r>
              <w:rPr>
                <w:b/>
                <w:color w:val="FFFFFF"/>
              </w:rPr>
              <w:t>Faculty responsible for management of the programme</w:t>
            </w:r>
          </w:p>
        </w:tc>
        <w:tc>
          <w:tcPr>
            <w:tcW w:w="4308" w:type="dxa"/>
          </w:tcPr>
          <w:p w14:paraId="53658355" w14:textId="77777777" w:rsidR="00C71E62" w:rsidRDefault="00000000">
            <w:pPr>
              <w:pBdr>
                <w:top w:val="nil"/>
                <w:left w:val="nil"/>
                <w:bottom w:val="nil"/>
                <w:right w:val="nil"/>
                <w:between w:val="nil"/>
              </w:pBdr>
              <w:rPr>
                <w:color w:val="000000"/>
              </w:rPr>
            </w:pPr>
            <w:r>
              <w:rPr>
                <w:color w:val="000000"/>
                <w:highlight w:val="white"/>
              </w:rPr>
              <w:t>Lifestyle</w:t>
            </w:r>
          </w:p>
        </w:tc>
      </w:tr>
      <w:tr w:rsidR="00C71E62" w14:paraId="2A126A0A" w14:textId="77777777">
        <w:tc>
          <w:tcPr>
            <w:tcW w:w="4618" w:type="dxa"/>
            <w:shd w:val="clear" w:color="auto" w:fill="000000"/>
          </w:tcPr>
          <w:p w14:paraId="6B72E2DF" w14:textId="77777777" w:rsidR="00C71E62" w:rsidRDefault="00000000">
            <w:pPr>
              <w:pBdr>
                <w:top w:val="nil"/>
                <w:left w:val="nil"/>
                <w:bottom w:val="nil"/>
                <w:right w:val="nil"/>
                <w:between w:val="nil"/>
              </w:pBdr>
              <w:rPr>
                <w:b/>
                <w:color w:val="FFFFFF"/>
              </w:rPr>
            </w:pPr>
            <w:r>
              <w:rPr>
                <w:b/>
                <w:color w:val="FFFFFF"/>
              </w:rPr>
              <w:t>Teaching site</w:t>
            </w:r>
          </w:p>
        </w:tc>
        <w:tc>
          <w:tcPr>
            <w:tcW w:w="4308" w:type="dxa"/>
          </w:tcPr>
          <w:p w14:paraId="31767FD2" w14:textId="496F3F28" w:rsidR="00C71E62" w:rsidRDefault="000E4036">
            <w:pPr>
              <w:pBdr>
                <w:top w:val="nil"/>
                <w:left w:val="nil"/>
                <w:bottom w:val="nil"/>
                <w:right w:val="nil"/>
                <w:between w:val="nil"/>
              </w:pBdr>
              <w:rPr>
                <w:color w:val="121212"/>
              </w:rPr>
            </w:pPr>
            <w:r>
              <w:rPr>
                <w:color w:val="000000"/>
              </w:rPr>
              <w:t>UCS</w:t>
            </w:r>
            <w:r w:rsidR="00000000">
              <w:rPr>
                <w:color w:val="000000"/>
              </w:rPr>
              <w:t xml:space="preserve"> sites – </w:t>
            </w:r>
            <w:r w:rsidR="00000000">
              <w:rPr>
                <w:color w:val="121212"/>
              </w:rPr>
              <w:t>TFC Bury</w:t>
            </w:r>
          </w:p>
        </w:tc>
      </w:tr>
      <w:tr w:rsidR="00C71E62" w14:paraId="421FEF3C" w14:textId="77777777">
        <w:tc>
          <w:tcPr>
            <w:tcW w:w="4618" w:type="dxa"/>
            <w:shd w:val="clear" w:color="auto" w:fill="000000"/>
          </w:tcPr>
          <w:p w14:paraId="1F7AD7CD" w14:textId="77777777" w:rsidR="00C71E62" w:rsidRDefault="00000000">
            <w:pPr>
              <w:pBdr>
                <w:top w:val="nil"/>
                <w:left w:val="nil"/>
                <w:bottom w:val="nil"/>
                <w:right w:val="nil"/>
                <w:between w:val="nil"/>
              </w:pBdr>
              <w:rPr>
                <w:b/>
                <w:color w:val="FFFFFF"/>
              </w:rPr>
            </w:pPr>
            <w:r>
              <w:rPr>
                <w:b/>
                <w:color w:val="FFFFFF"/>
              </w:rPr>
              <w:t>Mode of Delivery</w:t>
            </w:r>
          </w:p>
        </w:tc>
        <w:tc>
          <w:tcPr>
            <w:tcW w:w="4308" w:type="dxa"/>
          </w:tcPr>
          <w:p w14:paraId="46B5A8F7" w14:textId="77777777" w:rsidR="00C71E62" w:rsidRDefault="00000000">
            <w:pPr>
              <w:pBdr>
                <w:top w:val="nil"/>
                <w:left w:val="nil"/>
                <w:bottom w:val="nil"/>
                <w:right w:val="nil"/>
                <w:between w:val="nil"/>
              </w:pBdr>
              <w:rPr>
                <w:color w:val="000000"/>
              </w:rPr>
            </w:pPr>
            <w:r>
              <w:rPr>
                <w:color w:val="000000"/>
              </w:rPr>
              <w:t>Full time / Blended</w:t>
            </w:r>
          </w:p>
        </w:tc>
      </w:tr>
      <w:tr w:rsidR="00C71E62" w14:paraId="44F1319C" w14:textId="77777777">
        <w:tc>
          <w:tcPr>
            <w:tcW w:w="4618" w:type="dxa"/>
            <w:shd w:val="clear" w:color="auto" w:fill="000000"/>
          </w:tcPr>
          <w:p w14:paraId="5E29B307" w14:textId="77777777" w:rsidR="00C71E62" w:rsidRDefault="00000000">
            <w:pPr>
              <w:pBdr>
                <w:top w:val="nil"/>
                <w:left w:val="nil"/>
                <w:bottom w:val="nil"/>
                <w:right w:val="nil"/>
                <w:between w:val="nil"/>
              </w:pBdr>
              <w:rPr>
                <w:b/>
                <w:color w:val="FFFFFF"/>
              </w:rPr>
            </w:pPr>
            <w:r>
              <w:rPr>
                <w:b/>
                <w:color w:val="FFFFFF"/>
              </w:rPr>
              <w:t>Final award</w:t>
            </w:r>
          </w:p>
        </w:tc>
        <w:tc>
          <w:tcPr>
            <w:tcW w:w="4308" w:type="dxa"/>
          </w:tcPr>
          <w:p w14:paraId="00C5F268" w14:textId="77777777" w:rsidR="00C71E62" w:rsidRDefault="00000000">
            <w:pPr>
              <w:pBdr>
                <w:top w:val="nil"/>
                <w:left w:val="nil"/>
                <w:bottom w:val="nil"/>
                <w:right w:val="nil"/>
                <w:between w:val="nil"/>
              </w:pBdr>
              <w:rPr>
                <w:color w:val="000000"/>
              </w:rPr>
            </w:pPr>
            <w:r>
              <w:rPr>
                <w:color w:val="000000"/>
              </w:rPr>
              <w:t>Higher National Certificate (HNC)</w:t>
            </w:r>
          </w:p>
        </w:tc>
      </w:tr>
      <w:tr w:rsidR="00C71E62" w14:paraId="2F7DB3A5" w14:textId="77777777">
        <w:tc>
          <w:tcPr>
            <w:tcW w:w="4618" w:type="dxa"/>
            <w:shd w:val="clear" w:color="auto" w:fill="000000"/>
          </w:tcPr>
          <w:p w14:paraId="7408FF7E" w14:textId="77777777" w:rsidR="00C71E62" w:rsidRDefault="00000000">
            <w:pPr>
              <w:pBdr>
                <w:top w:val="nil"/>
                <w:left w:val="nil"/>
                <w:bottom w:val="nil"/>
                <w:right w:val="nil"/>
                <w:between w:val="nil"/>
              </w:pBdr>
              <w:rPr>
                <w:b/>
                <w:color w:val="FFFFFF"/>
              </w:rPr>
            </w:pPr>
            <w:r>
              <w:rPr>
                <w:b/>
                <w:color w:val="FFFFFF"/>
              </w:rPr>
              <w:t>Programme</w:t>
            </w:r>
          </w:p>
        </w:tc>
        <w:tc>
          <w:tcPr>
            <w:tcW w:w="4308" w:type="dxa"/>
          </w:tcPr>
          <w:p w14:paraId="183E7791" w14:textId="77777777" w:rsidR="00C71E62" w:rsidRDefault="00000000">
            <w:pPr>
              <w:pBdr>
                <w:top w:val="nil"/>
                <w:left w:val="nil"/>
                <w:bottom w:val="nil"/>
                <w:right w:val="nil"/>
                <w:between w:val="nil"/>
              </w:pBdr>
              <w:spacing w:line="259" w:lineRule="auto"/>
              <w:rPr>
                <w:color w:val="000000"/>
              </w:rPr>
            </w:pPr>
            <w:r>
              <w:t xml:space="preserve">Community Coaching </w:t>
            </w:r>
          </w:p>
        </w:tc>
      </w:tr>
      <w:tr w:rsidR="00C71E62" w14:paraId="7CA8DDBF" w14:textId="77777777">
        <w:tc>
          <w:tcPr>
            <w:tcW w:w="4618" w:type="dxa"/>
            <w:shd w:val="clear" w:color="auto" w:fill="000000"/>
          </w:tcPr>
          <w:p w14:paraId="04617CBD" w14:textId="77777777" w:rsidR="00C71E62" w:rsidRDefault="00000000">
            <w:pPr>
              <w:pBdr>
                <w:top w:val="nil"/>
                <w:left w:val="nil"/>
                <w:bottom w:val="nil"/>
                <w:right w:val="nil"/>
                <w:between w:val="nil"/>
              </w:pBdr>
              <w:rPr>
                <w:b/>
                <w:color w:val="FFFFFF"/>
              </w:rPr>
            </w:pPr>
            <w:r>
              <w:rPr>
                <w:b/>
                <w:color w:val="FFFFFF"/>
              </w:rPr>
              <w:t>UCAS Code</w:t>
            </w:r>
          </w:p>
        </w:tc>
        <w:tc>
          <w:tcPr>
            <w:tcW w:w="4308" w:type="dxa"/>
          </w:tcPr>
          <w:p w14:paraId="2AFB1030" w14:textId="34614591" w:rsidR="00C71E62" w:rsidRDefault="00C71E62">
            <w:pPr>
              <w:pBdr>
                <w:top w:val="nil"/>
                <w:left w:val="nil"/>
                <w:bottom w:val="nil"/>
                <w:right w:val="nil"/>
                <w:between w:val="nil"/>
              </w:pBdr>
              <w:rPr>
                <w:color w:val="FF0000"/>
                <w:highlight w:val="yellow"/>
              </w:rPr>
            </w:pPr>
          </w:p>
        </w:tc>
      </w:tr>
      <w:tr w:rsidR="00C71E62" w14:paraId="2D2732A0" w14:textId="77777777">
        <w:tc>
          <w:tcPr>
            <w:tcW w:w="4618" w:type="dxa"/>
            <w:shd w:val="clear" w:color="auto" w:fill="000000"/>
          </w:tcPr>
          <w:p w14:paraId="754FE032" w14:textId="77777777" w:rsidR="00C71E62" w:rsidRDefault="00000000">
            <w:pPr>
              <w:pBdr>
                <w:top w:val="nil"/>
                <w:left w:val="nil"/>
                <w:bottom w:val="nil"/>
                <w:right w:val="nil"/>
                <w:between w:val="nil"/>
              </w:pBdr>
              <w:rPr>
                <w:b/>
                <w:color w:val="FFFFFF"/>
              </w:rPr>
            </w:pPr>
            <w:r>
              <w:rPr>
                <w:b/>
                <w:color w:val="FFFFFF"/>
              </w:rPr>
              <w:t>Credits/ECTS Value</w:t>
            </w:r>
          </w:p>
        </w:tc>
        <w:tc>
          <w:tcPr>
            <w:tcW w:w="4308" w:type="dxa"/>
          </w:tcPr>
          <w:p w14:paraId="1458C917" w14:textId="77777777" w:rsidR="00C71E62" w:rsidRDefault="00000000">
            <w:pPr>
              <w:pBdr>
                <w:top w:val="nil"/>
                <w:left w:val="nil"/>
                <w:bottom w:val="nil"/>
                <w:right w:val="nil"/>
                <w:between w:val="nil"/>
              </w:pBdr>
              <w:rPr>
                <w:color w:val="000000"/>
              </w:rPr>
            </w:pPr>
            <w:r>
              <w:rPr>
                <w:color w:val="000000"/>
              </w:rPr>
              <w:t>120 (60 ECTS)</w:t>
            </w:r>
          </w:p>
        </w:tc>
      </w:tr>
      <w:tr w:rsidR="00C71E62" w14:paraId="71F70ED8" w14:textId="77777777">
        <w:tc>
          <w:tcPr>
            <w:tcW w:w="4618" w:type="dxa"/>
            <w:shd w:val="clear" w:color="auto" w:fill="000000"/>
          </w:tcPr>
          <w:p w14:paraId="53CDF19A" w14:textId="77777777" w:rsidR="00C71E62" w:rsidRDefault="00000000">
            <w:pPr>
              <w:pBdr>
                <w:top w:val="nil"/>
                <w:left w:val="nil"/>
                <w:bottom w:val="nil"/>
                <w:right w:val="nil"/>
                <w:between w:val="nil"/>
              </w:pBdr>
              <w:rPr>
                <w:b/>
                <w:color w:val="FFFFFF"/>
              </w:rPr>
            </w:pPr>
            <w:r>
              <w:rPr>
                <w:b/>
                <w:color w:val="FFFFFF"/>
              </w:rPr>
              <w:t>Study level (FHEQ)</w:t>
            </w:r>
          </w:p>
        </w:tc>
        <w:tc>
          <w:tcPr>
            <w:tcW w:w="4308" w:type="dxa"/>
          </w:tcPr>
          <w:p w14:paraId="1EBA73BE" w14:textId="77777777" w:rsidR="00C71E62" w:rsidRDefault="00000000">
            <w:pPr>
              <w:pBdr>
                <w:top w:val="nil"/>
                <w:left w:val="nil"/>
                <w:bottom w:val="nil"/>
                <w:right w:val="nil"/>
                <w:between w:val="nil"/>
              </w:pBdr>
              <w:rPr>
                <w:color w:val="000000"/>
              </w:rPr>
            </w:pPr>
            <w:r>
              <w:rPr>
                <w:color w:val="000000"/>
              </w:rPr>
              <w:t>4 (RQF)</w:t>
            </w:r>
          </w:p>
        </w:tc>
      </w:tr>
      <w:tr w:rsidR="00C71E62" w14:paraId="648D36FB" w14:textId="77777777">
        <w:tc>
          <w:tcPr>
            <w:tcW w:w="4618" w:type="dxa"/>
            <w:shd w:val="clear" w:color="auto" w:fill="000000"/>
          </w:tcPr>
          <w:p w14:paraId="2E0177F8" w14:textId="77777777" w:rsidR="00C71E62" w:rsidRDefault="00000000">
            <w:pPr>
              <w:pBdr>
                <w:top w:val="nil"/>
                <w:left w:val="nil"/>
                <w:bottom w:val="nil"/>
                <w:right w:val="nil"/>
                <w:between w:val="nil"/>
              </w:pBdr>
              <w:rPr>
                <w:b/>
                <w:color w:val="FFFFFF"/>
              </w:rPr>
            </w:pPr>
            <w:r>
              <w:rPr>
                <w:b/>
                <w:color w:val="FFFFFF"/>
              </w:rPr>
              <w:t>Qualification Code / Learning Aim</w:t>
            </w:r>
          </w:p>
        </w:tc>
        <w:tc>
          <w:tcPr>
            <w:tcW w:w="4308" w:type="dxa"/>
          </w:tcPr>
          <w:p w14:paraId="0964368B" w14:textId="77777777" w:rsidR="00C71E62" w:rsidRDefault="00000000">
            <w:pPr>
              <w:pBdr>
                <w:top w:val="nil"/>
                <w:left w:val="nil"/>
                <w:bottom w:val="nil"/>
                <w:right w:val="nil"/>
                <w:between w:val="nil"/>
              </w:pBdr>
              <w:rPr>
                <w:color w:val="000000"/>
              </w:rPr>
            </w:pPr>
            <w:r>
              <w:rPr>
                <w:color w:val="000000"/>
              </w:rPr>
              <w:t>603</w:t>
            </w:r>
            <w:r>
              <w:t>/7857/8</w:t>
            </w:r>
          </w:p>
        </w:tc>
      </w:tr>
      <w:tr w:rsidR="00C71E62" w14:paraId="777F9F7D" w14:textId="77777777">
        <w:tc>
          <w:tcPr>
            <w:tcW w:w="4618" w:type="dxa"/>
            <w:shd w:val="clear" w:color="auto" w:fill="000000"/>
          </w:tcPr>
          <w:p w14:paraId="188315C6" w14:textId="77777777" w:rsidR="00C71E62" w:rsidRDefault="00000000">
            <w:pPr>
              <w:pBdr>
                <w:top w:val="nil"/>
                <w:left w:val="nil"/>
                <w:bottom w:val="nil"/>
                <w:right w:val="nil"/>
                <w:between w:val="nil"/>
              </w:pBdr>
              <w:rPr>
                <w:b/>
                <w:color w:val="FFFFFF"/>
              </w:rPr>
            </w:pPr>
            <w:r>
              <w:rPr>
                <w:b/>
                <w:color w:val="FFFFFF"/>
              </w:rPr>
              <w:t>Date of creation/revision (for version control)</w:t>
            </w:r>
          </w:p>
        </w:tc>
        <w:tc>
          <w:tcPr>
            <w:tcW w:w="4308" w:type="dxa"/>
          </w:tcPr>
          <w:p w14:paraId="77E7178E" w14:textId="77777777" w:rsidR="00C71E62" w:rsidRDefault="00000000">
            <w:pPr>
              <w:pBdr>
                <w:top w:val="nil"/>
                <w:left w:val="nil"/>
                <w:bottom w:val="nil"/>
                <w:right w:val="nil"/>
                <w:between w:val="nil"/>
              </w:pBdr>
              <w:rPr>
                <w:color w:val="000000"/>
              </w:rPr>
            </w:pPr>
            <w:r>
              <w:rPr>
                <w:color w:val="000000"/>
              </w:rPr>
              <w:t>September 20</w:t>
            </w:r>
            <w:r>
              <w:t>24</w:t>
            </w:r>
            <w:r>
              <w:rPr>
                <w:color w:val="000000"/>
              </w:rPr>
              <w:t xml:space="preserve"> (Version 1)</w:t>
            </w:r>
          </w:p>
        </w:tc>
      </w:tr>
      <w:tr w:rsidR="00C71E62" w14:paraId="6482BA75" w14:textId="77777777">
        <w:tc>
          <w:tcPr>
            <w:tcW w:w="4618" w:type="dxa"/>
            <w:shd w:val="clear" w:color="auto" w:fill="000000"/>
          </w:tcPr>
          <w:p w14:paraId="761676D1" w14:textId="77777777" w:rsidR="00C71E62" w:rsidRDefault="00000000">
            <w:pPr>
              <w:pBdr>
                <w:top w:val="nil"/>
                <w:left w:val="nil"/>
                <w:bottom w:val="nil"/>
                <w:right w:val="nil"/>
                <w:between w:val="nil"/>
              </w:pBdr>
              <w:rPr>
                <w:b/>
                <w:color w:val="FFFFFF"/>
              </w:rPr>
            </w:pPr>
            <w:r>
              <w:rPr>
                <w:b/>
                <w:color w:val="FFFFFF"/>
              </w:rPr>
              <w:t>Intended start date of delivery</w:t>
            </w:r>
          </w:p>
        </w:tc>
        <w:tc>
          <w:tcPr>
            <w:tcW w:w="4308" w:type="dxa"/>
          </w:tcPr>
          <w:p w14:paraId="56D92C3B" w14:textId="77777777" w:rsidR="00C71E62" w:rsidRDefault="00000000">
            <w:pPr>
              <w:pBdr>
                <w:top w:val="nil"/>
                <w:left w:val="nil"/>
                <w:bottom w:val="nil"/>
                <w:right w:val="nil"/>
                <w:between w:val="nil"/>
              </w:pBdr>
              <w:rPr>
                <w:color w:val="000000"/>
              </w:rPr>
            </w:pPr>
            <w:r>
              <w:rPr>
                <w:color w:val="000000"/>
              </w:rPr>
              <w:t>September 202</w:t>
            </w:r>
            <w:r>
              <w:t>5</w:t>
            </w:r>
          </w:p>
        </w:tc>
      </w:tr>
    </w:tbl>
    <w:p w14:paraId="06381158" w14:textId="77777777" w:rsidR="00C71E62" w:rsidRDefault="00C71E62">
      <w:pPr>
        <w:pBdr>
          <w:top w:val="nil"/>
          <w:left w:val="nil"/>
          <w:bottom w:val="nil"/>
          <w:right w:val="nil"/>
          <w:between w:val="nil"/>
        </w:pBdr>
        <w:jc w:val="center"/>
        <w:rPr>
          <w:color w:val="000000"/>
          <w:sz w:val="28"/>
          <w:szCs w:val="28"/>
        </w:rPr>
      </w:pPr>
    </w:p>
    <w:tbl>
      <w:tblPr>
        <w:tblStyle w:val="af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414271A8" w14:textId="77777777" w:rsidTr="3D157549">
        <w:trPr>
          <w:tblHeader/>
        </w:trPr>
        <w:tc>
          <w:tcPr>
            <w:tcW w:w="9010" w:type="dxa"/>
            <w:shd w:val="clear" w:color="auto" w:fill="000000" w:themeFill="text1"/>
          </w:tcPr>
          <w:p w14:paraId="2FFE1398" w14:textId="77777777" w:rsidR="00C71E62" w:rsidRDefault="00000000">
            <w:pPr>
              <w:pBdr>
                <w:top w:val="nil"/>
                <w:left w:val="nil"/>
                <w:bottom w:val="nil"/>
                <w:right w:val="nil"/>
                <w:between w:val="nil"/>
              </w:pBdr>
              <w:rPr>
                <w:b/>
                <w:color w:val="FFFFFF"/>
              </w:rPr>
            </w:pPr>
            <w:r>
              <w:rPr>
                <w:b/>
                <w:color w:val="FFFFFF"/>
              </w:rPr>
              <w:t>Educational aims of the programme</w:t>
            </w:r>
          </w:p>
        </w:tc>
      </w:tr>
      <w:tr w:rsidR="00C71E62" w14:paraId="2CEB5634" w14:textId="77777777" w:rsidTr="3D157549">
        <w:tc>
          <w:tcPr>
            <w:tcW w:w="9010" w:type="dxa"/>
          </w:tcPr>
          <w:p w14:paraId="2D0EFFCA" w14:textId="126F7BFB" w:rsidR="00C71E62" w:rsidRDefault="00000000" w:rsidP="3D157549">
            <w:pPr>
              <w:pBdr>
                <w:top w:val="nil"/>
                <w:left w:val="nil"/>
                <w:bottom w:val="nil"/>
                <w:right w:val="nil"/>
                <w:between w:val="nil"/>
              </w:pBdr>
              <w:rPr>
                <w:color w:val="000000"/>
              </w:rPr>
            </w:pPr>
            <w:r w:rsidRPr="3D157549">
              <w:rPr>
                <w:color w:val="000000" w:themeColor="text1"/>
              </w:rPr>
              <w:t>The purpose of the BTEC Higher National</w:t>
            </w:r>
            <w:r>
              <w:t xml:space="preserve"> Certificate</w:t>
            </w:r>
            <w:r w:rsidRPr="3D157549">
              <w:rPr>
                <w:color w:val="000000" w:themeColor="text1"/>
              </w:rPr>
              <w:t xml:space="preserve"> Community Coaching </w:t>
            </w:r>
            <w:r w:rsidR="7C1043F9" w:rsidRPr="3D157549">
              <w:rPr>
                <w:color w:val="000000" w:themeColor="text1"/>
              </w:rPr>
              <w:t xml:space="preserve">for England </w:t>
            </w:r>
            <w:r w:rsidRPr="3D157549">
              <w:rPr>
                <w:color w:val="000000" w:themeColor="text1"/>
              </w:rPr>
              <w:t xml:space="preserve">is to develop students as professional, self-reflecting individuals able to meet the demands of employers in the </w:t>
            </w:r>
            <w:r>
              <w:t>UK Coaching sector</w:t>
            </w:r>
            <w:r w:rsidRPr="3D157549">
              <w:rPr>
                <w:color w:val="000000" w:themeColor="text1"/>
              </w:rPr>
              <w:t xml:space="preserve"> and adapt to a constantly changing world. The qualifications aim to widen access to higher education and enhance the </w:t>
            </w:r>
          </w:p>
          <w:p w14:paraId="3377C658" w14:textId="77777777" w:rsidR="00C71E62" w:rsidRDefault="00000000">
            <w:pPr>
              <w:pBdr>
                <w:top w:val="nil"/>
                <w:left w:val="nil"/>
                <w:bottom w:val="nil"/>
                <w:right w:val="nil"/>
                <w:between w:val="nil"/>
              </w:pBdr>
              <w:rPr>
                <w:color w:val="000000"/>
              </w:rPr>
            </w:pPr>
            <w:r>
              <w:rPr>
                <w:color w:val="000000"/>
              </w:rPr>
              <w:t xml:space="preserve">career prospects of those who undertake them. </w:t>
            </w:r>
          </w:p>
          <w:p w14:paraId="1500EF45" w14:textId="77777777" w:rsidR="00C71E62" w:rsidRDefault="00C71E62">
            <w:pPr>
              <w:pBdr>
                <w:top w:val="nil"/>
                <w:left w:val="nil"/>
                <w:bottom w:val="nil"/>
                <w:right w:val="nil"/>
                <w:between w:val="nil"/>
              </w:pBdr>
              <w:rPr>
                <w:color w:val="000000"/>
              </w:rPr>
            </w:pPr>
          </w:p>
          <w:p w14:paraId="5FE7E09D" w14:textId="6C3FAD96" w:rsidR="00C71E62" w:rsidRDefault="00000000" w:rsidP="6BA15B7B">
            <w:pPr>
              <w:pBdr>
                <w:top w:val="nil"/>
                <w:left w:val="nil"/>
                <w:bottom w:val="nil"/>
                <w:right w:val="nil"/>
                <w:between w:val="nil"/>
              </w:pBdr>
              <w:rPr>
                <w:color w:val="000000"/>
              </w:rPr>
            </w:pPr>
            <w:r w:rsidRPr="6BA15B7B">
              <w:rPr>
                <w:color w:val="000000" w:themeColor="text1"/>
              </w:rPr>
              <w:t xml:space="preserve">The Higher National Certificate (HNC) </w:t>
            </w:r>
            <w:r>
              <w:t>Community Coaching</w:t>
            </w:r>
            <w:r w:rsidRPr="6BA15B7B">
              <w:rPr>
                <w:color w:val="000000" w:themeColor="text1"/>
              </w:rPr>
              <w:t xml:space="preserve"> </w:t>
            </w:r>
            <w:r w:rsidR="77D7B64D" w:rsidRPr="6BA15B7B">
              <w:rPr>
                <w:color w:val="000000" w:themeColor="text1"/>
              </w:rPr>
              <w:t xml:space="preserve">for England </w:t>
            </w:r>
            <w:r w:rsidRPr="6BA15B7B">
              <w:rPr>
                <w:color w:val="000000" w:themeColor="text1"/>
              </w:rPr>
              <w:t xml:space="preserve">has been designed to meet the following aims:  </w:t>
            </w:r>
          </w:p>
          <w:p w14:paraId="5DA0C9DD" w14:textId="77777777" w:rsidR="00C71E62" w:rsidRDefault="00C71E62">
            <w:pPr>
              <w:pBdr>
                <w:top w:val="nil"/>
                <w:left w:val="nil"/>
                <w:bottom w:val="nil"/>
                <w:right w:val="nil"/>
                <w:between w:val="nil"/>
              </w:pBdr>
              <w:rPr>
                <w:color w:val="000000"/>
              </w:rPr>
            </w:pPr>
          </w:p>
          <w:p w14:paraId="7C6D1386" w14:textId="0C581418" w:rsidR="00C71E62" w:rsidRDefault="00000000">
            <w:pPr>
              <w:numPr>
                <w:ilvl w:val="0"/>
                <w:numId w:val="2"/>
              </w:numPr>
              <w:pBdr>
                <w:top w:val="nil"/>
                <w:left w:val="nil"/>
                <w:bottom w:val="nil"/>
                <w:right w:val="nil"/>
                <w:between w:val="nil"/>
              </w:pBdr>
              <w:rPr>
                <w:color w:val="000000"/>
              </w:rPr>
            </w:pPr>
            <w:r>
              <w:t xml:space="preserve">To equip students with community coaching skills, knowledge and </w:t>
            </w:r>
            <w:r w:rsidR="00961648">
              <w:t>understanding</w:t>
            </w:r>
            <w:r>
              <w:t xml:space="preserve"> necessary to achieve high performance in the UK community coaching environment.</w:t>
            </w:r>
          </w:p>
          <w:p w14:paraId="7F92FFA0" w14:textId="77777777" w:rsidR="00C71E62" w:rsidRDefault="00000000">
            <w:pPr>
              <w:numPr>
                <w:ilvl w:val="0"/>
                <w:numId w:val="2"/>
              </w:numPr>
              <w:pBdr>
                <w:top w:val="nil"/>
                <w:left w:val="nil"/>
                <w:bottom w:val="nil"/>
                <w:right w:val="nil"/>
                <w:between w:val="nil"/>
              </w:pBdr>
            </w:pPr>
            <w:r>
              <w:t xml:space="preserve">To provide insight and understanding into the diversity of roles within Sport &amp; Exercise Science and community coaching, </w:t>
            </w:r>
            <w:proofErr w:type="spellStart"/>
            <w:r>
              <w:t>recognising</w:t>
            </w:r>
            <w:proofErr w:type="spellEnd"/>
            <w:r>
              <w:t xml:space="preserve"> the importance of collaboration at all levels</w:t>
            </w:r>
          </w:p>
          <w:p w14:paraId="45659862" w14:textId="77777777" w:rsidR="00C71E62" w:rsidRDefault="00000000">
            <w:pPr>
              <w:numPr>
                <w:ilvl w:val="0"/>
                <w:numId w:val="2"/>
              </w:numPr>
              <w:pBdr>
                <w:top w:val="nil"/>
                <w:left w:val="nil"/>
                <w:bottom w:val="nil"/>
                <w:right w:val="nil"/>
                <w:between w:val="nil"/>
              </w:pBdr>
              <w:rPr>
                <w:color w:val="000000"/>
              </w:rPr>
            </w:pPr>
            <w:r>
              <w:rPr>
                <w:color w:val="000000"/>
              </w:rPr>
              <w:t xml:space="preserve">To provide Level 3 learners with a progression opportunity within Coaching, Sport and Exercise Science at Activate Learning and VLUK </w:t>
            </w:r>
          </w:p>
          <w:p w14:paraId="6593B9CC" w14:textId="77777777" w:rsidR="00C71E62" w:rsidRDefault="00000000">
            <w:pPr>
              <w:numPr>
                <w:ilvl w:val="0"/>
                <w:numId w:val="2"/>
              </w:numPr>
              <w:pBdr>
                <w:top w:val="nil"/>
                <w:left w:val="nil"/>
                <w:bottom w:val="nil"/>
                <w:right w:val="nil"/>
                <w:between w:val="nil"/>
              </w:pBdr>
              <w:rPr>
                <w:color w:val="000000"/>
              </w:rPr>
            </w:pPr>
            <w:r>
              <w:rPr>
                <w:color w:val="000000"/>
              </w:rPr>
              <w:t>Develop local employer engagement within the Sports coaching sector</w:t>
            </w:r>
          </w:p>
          <w:p w14:paraId="6F4BAAE9" w14:textId="77777777" w:rsidR="00C71E62" w:rsidRDefault="00000000">
            <w:pPr>
              <w:numPr>
                <w:ilvl w:val="0"/>
                <w:numId w:val="2"/>
              </w:numPr>
              <w:pBdr>
                <w:top w:val="nil"/>
                <w:left w:val="nil"/>
                <w:bottom w:val="nil"/>
                <w:right w:val="nil"/>
                <w:between w:val="nil"/>
              </w:pBdr>
              <w:rPr>
                <w:color w:val="000000"/>
              </w:rPr>
            </w:pPr>
            <w:r>
              <w:rPr>
                <w:color w:val="000000"/>
              </w:rPr>
              <w:t xml:space="preserve">Enhance learners understanding and experience of working with local employers to meet professional standards </w:t>
            </w:r>
          </w:p>
          <w:p w14:paraId="44E8AAC0" w14:textId="77777777" w:rsidR="00C71E62" w:rsidRDefault="00000000">
            <w:pPr>
              <w:numPr>
                <w:ilvl w:val="0"/>
                <w:numId w:val="2"/>
              </w:numPr>
              <w:pBdr>
                <w:top w:val="nil"/>
                <w:left w:val="nil"/>
                <w:bottom w:val="nil"/>
                <w:right w:val="nil"/>
                <w:between w:val="nil"/>
              </w:pBdr>
              <w:rPr>
                <w:color w:val="000000"/>
              </w:rPr>
            </w:pPr>
            <w:r>
              <w:lastRenderedPageBreak/>
              <w:t>To provide opportunities for students to enter or progress in employment in community coaching, or progress to higher education qualifications such as an Higher National Diploma (HND) in Sport, or a related area</w:t>
            </w:r>
          </w:p>
        </w:tc>
      </w:tr>
    </w:tbl>
    <w:p w14:paraId="5B56C32F" w14:textId="77777777" w:rsidR="00C71E62" w:rsidRDefault="00C71E62">
      <w:pPr>
        <w:pBdr>
          <w:top w:val="nil"/>
          <w:left w:val="nil"/>
          <w:bottom w:val="nil"/>
          <w:right w:val="nil"/>
          <w:between w:val="nil"/>
        </w:pBdr>
        <w:jc w:val="center"/>
        <w:rPr>
          <w:color w:val="000000"/>
          <w:sz w:val="28"/>
          <w:szCs w:val="28"/>
        </w:rPr>
      </w:pPr>
    </w:p>
    <w:tbl>
      <w:tblPr>
        <w:tblStyle w:val="af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29297CBB" w14:textId="77777777">
        <w:trPr>
          <w:tblHeader/>
        </w:trPr>
        <w:tc>
          <w:tcPr>
            <w:tcW w:w="9010" w:type="dxa"/>
            <w:shd w:val="clear" w:color="auto" w:fill="000000"/>
          </w:tcPr>
          <w:p w14:paraId="2A8AC80E" w14:textId="77777777" w:rsidR="00C71E62" w:rsidRDefault="00000000">
            <w:pPr>
              <w:pBdr>
                <w:top w:val="nil"/>
                <w:left w:val="nil"/>
                <w:bottom w:val="nil"/>
                <w:right w:val="nil"/>
                <w:between w:val="nil"/>
              </w:pBdr>
              <w:rPr>
                <w:color w:val="FFFFFF"/>
              </w:rPr>
            </w:pPr>
            <w:r>
              <w:rPr>
                <w:b/>
                <w:color w:val="FFFFFF"/>
              </w:rPr>
              <w:t>Programme Learning Outcomes</w:t>
            </w:r>
          </w:p>
        </w:tc>
      </w:tr>
      <w:tr w:rsidR="00C71E62" w14:paraId="6BF56EA0" w14:textId="77777777">
        <w:tc>
          <w:tcPr>
            <w:tcW w:w="9010" w:type="dxa"/>
          </w:tcPr>
          <w:p w14:paraId="37A2DBE3" w14:textId="77777777" w:rsidR="00C71E62" w:rsidRDefault="00000000">
            <w:pPr>
              <w:pBdr>
                <w:top w:val="nil"/>
                <w:left w:val="nil"/>
                <w:bottom w:val="nil"/>
                <w:right w:val="nil"/>
                <w:between w:val="nil"/>
              </w:pBdr>
              <w:ind w:left="22"/>
              <w:rPr>
                <w:color w:val="000000"/>
              </w:rPr>
            </w:pPr>
            <w:r>
              <w:rPr>
                <w:color w:val="000000"/>
              </w:rPr>
              <w:t xml:space="preserve">The programme provides opportunities for students to develop and demonstrate knowledge and understanding, cognitive skills, applied skills and transferable skills as mapped against the level 4 descriptors in the framework for higher education qualifications (FHEQ): </w:t>
            </w:r>
          </w:p>
          <w:p w14:paraId="7DDA7804" w14:textId="77777777" w:rsidR="00C71E62" w:rsidRDefault="00C71E62">
            <w:pPr>
              <w:pBdr>
                <w:top w:val="nil"/>
                <w:left w:val="nil"/>
                <w:bottom w:val="nil"/>
                <w:right w:val="nil"/>
                <w:between w:val="nil"/>
              </w:pBdr>
              <w:ind w:left="22"/>
              <w:rPr>
                <w:color w:val="000000"/>
              </w:rPr>
            </w:pPr>
          </w:p>
          <w:p w14:paraId="413B2884" w14:textId="77777777" w:rsidR="00C71E62" w:rsidRDefault="00000000">
            <w:pPr>
              <w:pBdr>
                <w:top w:val="nil"/>
                <w:left w:val="nil"/>
                <w:bottom w:val="nil"/>
                <w:right w:val="nil"/>
                <w:between w:val="nil"/>
              </w:pBdr>
              <w:rPr>
                <w:color w:val="000000"/>
              </w:rPr>
            </w:pPr>
            <w:r>
              <w:rPr>
                <w:color w:val="000000"/>
              </w:rPr>
              <w:t xml:space="preserve">Certificates of Higher Education are awarded to students who have demonstrated:  </w:t>
            </w:r>
          </w:p>
          <w:p w14:paraId="158E1B8F" w14:textId="77777777" w:rsidR="00C71E62" w:rsidRDefault="00C71E62">
            <w:pPr>
              <w:pBdr>
                <w:top w:val="nil"/>
                <w:left w:val="nil"/>
                <w:bottom w:val="nil"/>
                <w:right w:val="nil"/>
                <w:between w:val="nil"/>
              </w:pBdr>
              <w:ind w:left="22"/>
              <w:rPr>
                <w:color w:val="000000"/>
              </w:rPr>
            </w:pPr>
          </w:p>
          <w:p w14:paraId="07C3FAFE" w14:textId="77777777" w:rsidR="00C71E62" w:rsidRDefault="00000000">
            <w:pPr>
              <w:numPr>
                <w:ilvl w:val="0"/>
                <w:numId w:val="4"/>
              </w:numPr>
              <w:pBdr>
                <w:top w:val="nil"/>
                <w:left w:val="nil"/>
                <w:bottom w:val="nil"/>
                <w:right w:val="nil"/>
                <w:between w:val="nil"/>
              </w:pBdr>
              <w:rPr>
                <w:color w:val="000000"/>
              </w:rPr>
            </w:pPr>
            <w:r>
              <w:rPr>
                <w:color w:val="000000"/>
              </w:rPr>
              <w:t xml:space="preserve">knowledge of the underlying concepts and principles associated with their area(s) of study, and an ability to evaluate and interpret these within the context of that area of study  </w:t>
            </w:r>
          </w:p>
          <w:p w14:paraId="0480A50A" w14:textId="77777777" w:rsidR="00C71E62" w:rsidRDefault="00C71E62">
            <w:pPr>
              <w:pBdr>
                <w:top w:val="nil"/>
                <w:left w:val="nil"/>
                <w:bottom w:val="nil"/>
                <w:right w:val="nil"/>
                <w:between w:val="nil"/>
              </w:pBdr>
              <w:ind w:left="720"/>
              <w:rPr>
                <w:color w:val="000000"/>
              </w:rPr>
            </w:pPr>
          </w:p>
          <w:p w14:paraId="56481E0A" w14:textId="77777777" w:rsidR="00C71E62" w:rsidRDefault="00000000">
            <w:pPr>
              <w:numPr>
                <w:ilvl w:val="0"/>
                <w:numId w:val="4"/>
              </w:numPr>
              <w:pBdr>
                <w:top w:val="nil"/>
                <w:left w:val="nil"/>
                <w:bottom w:val="nil"/>
                <w:right w:val="nil"/>
                <w:between w:val="nil"/>
              </w:pBdr>
              <w:rPr>
                <w:color w:val="000000"/>
              </w:rPr>
            </w:pPr>
            <w:r>
              <w:rPr>
                <w:color w:val="000000"/>
              </w:rPr>
              <w:t xml:space="preserve">an ability to present, evaluate and interpret qualitative and quantitative data, in order to develop lines of argument and make sound judgements in accordance with basic theories and concepts of their subject(s) of study.  </w:t>
            </w:r>
          </w:p>
          <w:p w14:paraId="27B54252" w14:textId="77777777" w:rsidR="00C71E62" w:rsidRDefault="00C71E62">
            <w:pPr>
              <w:pBdr>
                <w:top w:val="nil"/>
                <w:left w:val="nil"/>
                <w:bottom w:val="nil"/>
                <w:right w:val="nil"/>
                <w:between w:val="nil"/>
              </w:pBdr>
              <w:ind w:left="22"/>
              <w:rPr>
                <w:color w:val="000000"/>
              </w:rPr>
            </w:pPr>
          </w:p>
          <w:p w14:paraId="6FBE11B6" w14:textId="77777777" w:rsidR="00C71E62" w:rsidRDefault="00000000">
            <w:pPr>
              <w:pBdr>
                <w:top w:val="nil"/>
                <w:left w:val="nil"/>
                <w:bottom w:val="nil"/>
                <w:right w:val="nil"/>
                <w:between w:val="nil"/>
              </w:pBdr>
              <w:ind w:left="22"/>
              <w:rPr>
                <w:color w:val="000000"/>
              </w:rPr>
            </w:pPr>
            <w:r>
              <w:rPr>
                <w:color w:val="000000"/>
              </w:rPr>
              <w:t xml:space="preserve">Typically, holders of the qualification will be able to:  </w:t>
            </w:r>
          </w:p>
          <w:p w14:paraId="69BA6FB9" w14:textId="77777777" w:rsidR="00C71E62" w:rsidRDefault="00C71E62">
            <w:pPr>
              <w:pBdr>
                <w:top w:val="nil"/>
                <w:left w:val="nil"/>
                <w:bottom w:val="nil"/>
                <w:right w:val="nil"/>
                <w:between w:val="nil"/>
              </w:pBdr>
              <w:ind w:left="22"/>
              <w:rPr>
                <w:color w:val="000000"/>
              </w:rPr>
            </w:pPr>
          </w:p>
          <w:p w14:paraId="305CE8BF" w14:textId="77777777" w:rsidR="00C71E62" w:rsidRDefault="00000000">
            <w:pPr>
              <w:numPr>
                <w:ilvl w:val="0"/>
                <w:numId w:val="6"/>
              </w:numPr>
              <w:pBdr>
                <w:top w:val="nil"/>
                <w:left w:val="nil"/>
                <w:bottom w:val="nil"/>
                <w:right w:val="nil"/>
                <w:between w:val="nil"/>
              </w:pBdr>
              <w:rPr>
                <w:color w:val="000000"/>
              </w:rPr>
            </w:pPr>
            <w:r>
              <w:rPr>
                <w:color w:val="000000"/>
              </w:rPr>
              <w:t xml:space="preserve">evaluate the appropriateness of different approaches to solving problems related to their area(s) of study and/or work  </w:t>
            </w:r>
          </w:p>
          <w:p w14:paraId="7759A75F" w14:textId="77777777" w:rsidR="00C71E62" w:rsidRDefault="00C71E62">
            <w:pPr>
              <w:pBdr>
                <w:top w:val="nil"/>
                <w:left w:val="nil"/>
                <w:bottom w:val="nil"/>
                <w:right w:val="nil"/>
                <w:between w:val="nil"/>
              </w:pBdr>
              <w:ind w:left="22"/>
              <w:rPr>
                <w:color w:val="000000"/>
              </w:rPr>
            </w:pPr>
          </w:p>
          <w:p w14:paraId="4576EC5C" w14:textId="77777777" w:rsidR="00C71E62" w:rsidRDefault="00000000">
            <w:pPr>
              <w:numPr>
                <w:ilvl w:val="0"/>
                <w:numId w:val="6"/>
              </w:numPr>
              <w:pBdr>
                <w:top w:val="nil"/>
                <w:left w:val="nil"/>
                <w:bottom w:val="nil"/>
                <w:right w:val="nil"/>
                <w:between w:val="nil"/>
              </w:pBdr>
              <w:rPr>
                <w:color w:val="000000"/>
              </w:rPr>
            </w:pPr>
            <w:r>
              <w:rPr>
                <w:color w:val="000000"/>
              </w:rPr>
              <w:t xml:space="preserve">communicate the results of their study/work accurately and reliably, and with structured and coherent arguments  </w:t>
            </w:r>
          </w:p>
          <w:p w14:paraId="7E566135" w14:textId="77777777" w:rsidR="00C71E62" w:rsidRDefault="00C71E62">
            <w:pPr>
              <w:pBdr>
                <w:top w:val="nil"/>
                <w:left w:val="nil"/>
                <w:bottom w:val="nil"/>
                <w:right w:val="nil"/>
                <w:between w:val="nil"/>
              </w:pBdr>
              <w:ind w:left="22"/>
              <w:rPr>
                <w:color w:val="000000"/>
              </w:rPr>
            </w:pPr>
          </w:p>
          <w:p w14:paraId="52DC1BA6" w14:textId="77777777" w:rsidR="00C71E62" w:rsidRDefault="00000000">
            <w:pPr>
              <w:numPr>
                <w:ilvl w:val="0"/>
                <w:numId w:val="6"/>
              </w:numPr>
              <w:pBdr>
                <w:top w:val="nil"/>
                <w:left w:val="nil"/>
                <w:bottom w:val="nil"/>
                <w:right w:val="nil"/>
                <w:between w:val="nil"/>
              </w:pBdr>
              <w:rPr>
                <w:color w:val="000000"/>
              </w:rPr>
            </w:pPr>
            <w:r>
              <w:rPr>
                <w:color w:val="000000"/>
              </w:rPr>
              <w:t xml:space="preserve">undertake further training and develop new skills within a structured and managed environment.  </w:t>
            </w:r>
          </w:p>
          <w:p w14:paraId="611D90A3" w14:textId="77777777" w:rsidR="00C71E62" w:rsidRDefault="00C71E62">
            <w:pPr>
              <w:pBdr>
                <w:top w:val="nil"/>
                <w:left w:val="nil"/>
                <w:bottom w:val="nil"/>
                <w:right w:val="nil"/>
                <w:between w:val="nil"/>
              </w:pBdr>
              <w:ind w:left="22"/>
              <w:rPr>
                <w:color w:val="000000"/>
              </w:rPr>
            </w:pPr>
          </w:p>
          <w:p w14:paraId="4642952E" w14:textId="77777777" w:rsidR="00C71E62" w:rsidRDefault="00000000">
            <w:pPr>
              <w:pBdr>
                <w:top w:val="nil"/>
                <w:left w:val="nil"/>
                <w:bottom w:val="nil"/>
                <w:right w:val="nil"/>
                <w:between w:val="nil"/>
              </w:pBdr>
              <w:ind w:left="22"/>
              <w:rPr>
                <w:color w:val="000000"/>
                <w:highlight w:val="white"/>
              </w:rPr>
            </w:pPr>
            <w:r>
              <w:rPr>
                <w:color w:val="000000"/>
                <w:highlight w:val="white"/>
              </w:rPr>
              <w:t>The qualification will be awarded to students who have demonstrated</w:t>
            </w:r>
            <w:r>
              <w:rPr>
                <w:highlight w:val="white"/>
              </w:rPr>
              <w:t>:</w:t>
            </w:r>
          </w:p>
          <w:p w14:paraId="0361E8FF" w14:textId="77777777" w:rsidR="00C71E62" w:rsidRDefault="00C71E62">
            <w:pPr>
              <w:pBdr>
                <w:top w:val="nil"/>
                <w:left w:val="nil"/>
                <w:bottom w:val="nil"/>
                <w:right w:val="nil"/>
                <w:between w:val="nil"/>
              </w:pBdr>
              <w:ind w:left="22"/>
              <w:rPr>
                <w:color w:val="000000"/>
                <w:highlight w:val="white"/>
              </w:rPr>
            </w:pPr>
          </w:p>
          <w:p w14:paraId="5E342599" w14:textId="77777777" w:rsidR="00C71E62" w:rsidRDefault="00000000">
            <w:pPr>
              <w:numPr>
                <w:ilvl w:val="0"/>
                <w:numId w:val="3"/>
              </w:numPr>
              <w:pBdr>
                <w:top w:val="nil"/>
                <w:left w:val="nil"/>
                <w:bottom w:val="nil"/>
                <w:right w:val="nil"/>
                <w:between w:val="nil"/>
              </w:pBdr>
              <w:rPr>
                <w:highlight w:val="white"/>
              </w:rPr>
            </w:pPr>
            <w:r>
              <w:rPr>
                <w:highlight w:val="white"/>
              </w:rPr>
              <w:t>a sound knowledge of the basic concepts of</w:t>
            </w:r>
            <w:r>
              <w:t xml:space="preserve"> community coaching. </w:t>
            </w:r>
          </w:p>
          <w:p w14:paraId="119349CF" w14:textId="171DFA8A" w:rsidR="00C71E62" w:rsidRDefault="00000000">
            <w:pPr>
              <w:numPr>
                <w:ilvl w:val="0"/>
                <w:numId w:val="3"/>
              </w:numPr>
              <w:pBdr>
                <w:top w:val="nil"/>
                <w:left w:val="nil"/>
                <w:bottom w:val="nil"/>
                <w:right w:val="nil"/>
                <w:between w:val="nil"/>
              </w:pBdr>
            </w:pPr>
            <w:r>
              <w:t xml:space="preserve">an ability to communicate accurately and appropriately and they will have the qualities needed for employment that </w:t>
            </w:r>
            <w:r w:rsidR="00A25E3F">
              <w:t>require</w:t>
            </w:r>
            <w:r>
              <w:t xml:space="preserve"> some degree of personal responsibility. </w:t>
            </w:r>
          </w:p>
          <w:p w14:paraId="5A833AE7" w14:textId="77777777" w:rsidR="00C71E62" w:rsidRDefault="00000000">
            <w:pPr>
              <w:numPr>
                <w:ilvl w:val="0"/>
                <w:numId w:val="3"/>
              </w:numPr>
              <w:pBdr>
                <w:top w:val="nil"/>
                <w:left w:val="nil"/>
                <w:bottom w:val="nil"/>
                <w:right w:val="nil"/>
                <w:between w:val="nil"/>
              </w:pBdr>
            </w:pPr>
            <w:r>
              <w:t xml:space="preserve">a range of transferable skills to ensure effective team working, independent initiatives, </w:t>
            </w:r>
            <w:proofErr w:type="spellStart"/>
            <w:r>
              <w:t>organisational</w:t>
            </w:r>
            <w:proofErr w:type="spellEnd"/>
            <w:r>
              <w:t xml:space="preserve"> competence and problem-solving strategies. </w:t>
            </w:r>
          </w:p>
          <w:p w14:paraId="77778C4D" w14:textId="77777777" w:rsidR="00C71E62" w:rsidRDefault="00000000">
            <w:pPr>
              <w:numPr>
                <w:ilvl w:val="0"/>
                <w:numId w:val="3"/>
              </w:numPr>
              <w:pBdr>
                <w:top w:val="nil"/>
                <w:left w:val="nil"/>
                <w:bottom w:val="nil"/>
                <w:right w:val="nil"/>
                <w:between w:val="nil"/>
              </w:pBdr>
              <w:rPr>
                <w:highlight w:val="white"/>
              </w:rPr>
            </w:pPr>
            <w:r>
              <w:t xml:space="preserve">an ability to be adaptable and flexible in their approach to community coaching, show resilience under pressure, and meet challenging targets within a given </w:t>
            </w:r>
            <w:r>
              <w:rPr>
                <w:highlight w:val="white"/>
              </w:rPr>
              <w:t>resource.</w:t>
            </w:r>
          </w:p>
          <w:p w14:paraId="404E64C0" w14:textId="77777777" w:rsidR="00C71E62" w:rsidRDefault="00C71E62">
            <w:pPr>
              <w:pBdr>
                <w:top w:val="nil"/>
                <w:left w:val="nil"/>
                <w:bottom w:val="nil"/>
                <w:right w:val="nil"/>
                <w:between w:val="nil"/>
              </w:pBdr>
              <w:ind w:left="22"/>
              <w:rPr>
                <w:color w:val="000000"/>
              </w:rPr>
            </w:pPr>
          </w:p>
          <w:p w14:paraId="1A7C007B" w14:textId="77777777" w:rsidR="00C71E62" w:rsidRDefault="00C71E62">
            <w:pPr>
              <w:pBdr>
                <w:top w:val="nil"/>
                <w:left w:val="nil"/>
                <w:bottom w:val="nil"/>
                <w:right w:val="nil"/>
                <w:between w:val="nil"/>
              </w:pBdr>
              <w:ind w:left="22"/>
              <w:rPr>
                <w:color w:val="000000"/>
                <w:u w:val="single"/>
              </w:rPr>
            </w:pPr>
          </w:p>
          <w:p w14:paraId="222B2349" w14:textId="77777777" w:rsidR="00C71E62" w:rsidRDefault="00C71E62">
            <w:pPr>
              <w:pBdr>
                <w:top w:val="nil"/>
                <w:left w:val="nil"/>
                <w:bottom w:val="nil"/>
                <w:right w:val="nil"/>
                <w:between w:val="nil"/>
              </w:pBdr>
              <w:ind w:left="22"/>
              <w:rPr>
                <w:color w:val="000000"/>
              </w:rPr>
            </w:pPr>
          </w:p>
        </w:tc>
      </w:tr>
    </w:tbl>
    <w:p w14:paraId="41A1D86D" w14:textId="77777777" w:rsidR="00C71E62" w:rsidRDefault="00C71E62">
      <w:pPr>
        <w:pBdr>
          <w:top w:val="nil"/>
          <w:left w:val="nil"/>
          <w:bottom w:val="nil"/>
          <w:right w:val="nil"/>
          <w:between w:val="nil"/>
        </w:pBdr>
        <w:jc w:val="center"/>
        <w:rPr>
          <w:color w:val="000000"/>
          <w:sz w:val="28"/>
          <w:szCs w:val="28"/>
        </w:rPr>
      </w:pPr>
    </w:p>
    <w:tbl>
      <w:tblPr>
        <w:tblStyle w:val="af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75564FB4" w14:textId="77777777">
        <w:trPr>
          <w:tblHeader/>
        </w:trPr>
        <w:tc>
          <w:tcPr>
            <w:tcW w:w="9010" w:type="dxa"/>
            <w:shd w:val="clear" w:color="auto" w:fill="000000"/>
          </w:tcPr>
          <w:p w14:paraId="78F8A170" w14:textId="77777777" w:rsidR="00C71E62" w:rsidRDefault="00000000">
            <w:pPr>
              <w:pBdr>
                <w:top w:val="nil"/>
                <w:left w:val="nil"/>
                <w:bottom w:val="nil"/>
                <w:right w:val="nil"/>
                <w:between w:val="nil"/>
              </w:pBdr>
              <w:rPr>
                <w:b/>
                <w:color w:val="FFFFFF"/>
              </w:rPr>
            </w:pPr>
            <w:r>
              <w:rPr>
                <w:b/>
                <w:color w:val="FFFFFF"/>
              </w:rPr>
              <w:t>Learning, Teaching and Assessment Strategy</w:t>
            </w:r>
          </w:p>
        </w:tc>
      </w:tr>
      <w:tr w:rsidR="00C71E62" w14:paraId="0BF66131" w14:textId="77777777">
        <w:tc>
          <w:tcPr>
            <w:tcW w:w="9010" w:type="dxa"/>
          </w:tcPr>
          <w:p w14:paraId="0B3C9CB6" w14:textId="0A7FBC6C" w:rsidR="00C71E62" w:rsidRDefault="00000000">
            <w:pPr>
              <w:pBdr>
                <w:top w:val="nil"/>
                <w:left w:val="nil"/>
                <w:bottom w:val="nil"/>
                <w:right w:val="nil"/>
                <w:between w:val="nil"/>
              </w:pBdr>
              <w:rPr>
                <w:color w:val="000000"/>
              </w:rPr>
            </w:pPr>
            <w:r>
              <w:rPr>
                <w:color w:val="000000"/>
              </w:rPr>
              <w:t xml:space="preserve">The learning and teaching strategy has been designed to ensure that students acquire </w:t>
            </w:r>
            <w:r w:rsidR="00C00E3E">
              <w:rPr>
                <w:color w:val="000000"/>
              </w:rPr>
              <w:t>knowledge</w:t>
            </w:r>
            <w:r>
              <w:rPr>
                <w:color w:val="000000"/>
              </w:rPr>
              <w:t xml:space="preserve"> and understanding, skills and attributes essential for learners to be successful on the programme.</w:t>
            </w:r>
          </w:p>
          <w:p w14:paraId="2F54B062" w14:textId="77777777" w:rsidR="00C71E62" w:rsidRDefault="00C71E62">
            <w:pPr>
              <w:pBdr>
                <w:top w:val="nil"/>
                <w:left w:val="nil"/>
                <w:bottom w:val="nil"/>
                <w:right w:val="nil"/>
                <w:between w:val="nil"/>
              </w:pBdr>
              <w:rPr>
                <w:color w:val="000000"/>
              </w:rPr>
            </w:pPr>
          </w:p>
          <w:p w14:paraId="5EFF7744" w14:textId="77777777" w:rsidR="00C71E62" w:rsidRDefault="00000000">
            <w:pPr>
              <w:pBdr>
                <w:top w:val="nil"/>
                <w:left w:val="nil"/>
                <w:bottom w:val="nil"/>
                <w:right w:val="nil"/>
                <w:between w:val="nil"/>
              </w:pBdr>
              <w:rPr>
                <w:color w:val="000000"/>
              </w:rPr>
            </w:pPr>
            <w:r>
              <w:rPr>
                <w:color w:val="000000"/>
              </w:rPr>
              <w:t xml:space="preserve">Each unit has a unit descriptor. This outlines the indicative content of the unit, the learning outcomes, and the teaching, learning and assessment methods used. Every unit has a number of learning outcomes. These are a fundamental statement of what is intended to be learned from that unit. Each is directly linked to an assessment. Units are compiled so that together they meet the Programme Aims and Learning Outcomes. </w:t>
            </w:r>
          </w:p>
          <w:p w14:paraId="098F597A" w14:textId="77777777" w:rsidR="00C71E62" w:rsidRDefault="00C71E62">
            <w:pPr>
              <w:pBdr>
                <w:top w:val="nil"/>
                <w:left w:val="nil"/>
                <w:bottom w:val="nil"/>
                <w:right w:val="nil"/>
                <w:between w:val="nil"/>
              </w:pBdr>
              <w:rPr>
                <w:color w:val="000000"/>
              </w:rPr>
            </w:pPr>
          </w:p>
          <w:p w14:paraId="5B6854C4" w14:textId="77777777" w:rsidR="00C71E62" w:rsidRDefault="00000000">
            <w:pPr>
              <w:pBdr>
                <w:top w:val="nil"/>
                <w:left w:val="nil"/>
                <w:bottom w:val="nil"/>
                <w:right w:val="nil"/>
                <w:between w:val="nil"/>
              </w:pBdr>
              <w:rPr>
                <w:color w:val="FF0000"/>
              </w:rPr>
            </w:pPr>
            <w:r>
              <w:rPr>
                <w:color w:val="000000"/>
              </w:rPr>
              <w:t xml:space="preserve">The programme will </w:t>
            </w:r>
            <w:r>
              <w:t>consist</w:t>
            </w:r>
            <w:r>
              <w:rPr>
                <w:color w:val="000000"/>
              </w:rPr>
              <w:t xml:space="preserve"> of lectures, seminars, tutorials, peer presentations and practical workshops. These will provide basic concepts, contextual information and the basic practical skills which will enable you to undertake practical assignments during timetabled sessions and in self-directed study periods.  </w:t>
            </w:r>
          </w:p>
          <w:p w14:paraId="4C88CCED" w14:textId="77777777" w:rsidR="00C71E62" w:rsidRDefault="00C71E62">
            <w:pPr>
              <w:pBdr>
                <w:top w:val="nil"/>
                <w:left w:val="nil"/>
                <w:bottom w:val="nil"/>
                <w:right w:val="nil"/>
                <w:between w:val="nil"/>
              </w:pBdr>
              <w:rPr>
                <w:color w:val="FF0000"/>
              </w:rPr>
            </w:pPr>
          </w:p>
          <w:p w14:paraId="372A8540" w14:textId="5973F7B6" w:rsidR="00C71E62" w:rsidRDefault="00000000">
            <w:pPr>
              <w:pBdr>
                <w:top w:val="nil"/>
                <w:left w:val="nil"/>
                <w:bottom w:val="nil"/>
                <w:right w:val="nil"/>
                <w:between w:val="nil"/>
              </w:pBdr>
            </w:pPr>
            <w:r>
              <w:t xml:space="preserve">The blended learning delivery of the HNC involves two, </w:t>
            </w:r>
            <w:r w:rsidR="00C00E3E">
              <w:t>twelve-week</w:t>
            </w:r>
            <w:r>
              <w:t xml:space="preserve"> semesters of formal teaching and an additional two weeks at the end of each semester for assessment time. The programme will begin with a </w:t>
            </w:r>
            <w:r w:rsidR="00C00E3E">
              <w:t>face-to-face</w:t>
            </w:r>
            <w:r>
              <w:t xml:space="preserve"> week which is compulsory to attend, this will include </w:t>
            </w:r>
            <w:r w:rsidR="00E4763A">
              <w:t>enrolment</w:t>
            </w:r>
            <w:r>
              <w:t xml:space="preserve"> and induction to the programme and delivery of </w:t>
            </w:r>
            <w:r w:rsidR="00E4763A">
              <w:t>weeks</w:t>
            </w:r>
            <w:r>
              <w:t xml:space="preserve"> 1 and 2 content. There will also be another </w:t>
            </w:r>
            <w:r w:rsidR="00C00E3E">
              <w:t>face-to-face</w:t>
            </w:r>
            <w:r>
              <w:t xml:space="preserve"> week in semester 1 and another in semester 2. Attendance </w:t>
            </w:r>
            <w:r w:rsidR="00E4763A">
              <w:t>on</w:t>
            </w:r>
            <w:r>
              <w:t xml:space="preserve"> the </w:t>
            </w:r>
            <w:r w:rsidR="00C00E3E">
              <w:t>face-to-face</w:t>
            </w:r>
            <w:r>
              <w:t xml:space="preserve"> weeks is </w:t>
            </w:r>
            <w:r w:rsidR="00E4763A">
              <w:t>compulsory,</w:t>
            </w:r>
            <w:r>
              <w:t xml:space="preserve"> and these weeks will include practical sessions, assessments, tutor support and additional activities to complement learning on the programme.</w:t>
            </w:r>
          </w:p>
          <w:p w14:paraId="7546CA54" w14:textId="77777777" w:rsidR="00C71E62" w:rsidRDefault="00C71E62">
            <w:pPr>
              <w:pBdr>
                <w:top w:val="nil"/>
                <w:left w:val="nil"/>
                <w:bottom w:val="nil"/>
                <w:right w:val="nil"/>
                <w:between w:val="nil"/>
              </w:pBdr>
            </w:pPr>
          </w:p>
          <w:p w14:paraId="37CCEFCD" w14:textId="584A25B9" w:rsidR="00C71E62" w:rsidRDefault="00000000">
            <w:pPr>
              <w:pBdr>
                <w:top w:val="nil"/>
                <w:left w:val="nil"/>
                <w:bottom w:val="nil"/>
                <w:right w:val="nil"/>
                <w:between w:val="nil"/>
              </w:pBdr>
            </w:pPr>
            <w:r>
              <w:t xml:space="preserve">The formal weekly sessions will be held online via Activate Learning On-line (ALO) and are typically a </w:t>
            </w:r>
            <w:r w:rsidR="00E4763A">
              <w:t>3-hour</w:t>
            </w:r>
            <w:r>
              <w:t xml:space="preserve"> timetabled slot for each unit over two full timetabled days. The formal weekly sessions will be complemented with 1-2 hours of tutorial time. Independent study around these weekly sessions will be expected to support your learning and assessment </w:t>
            </w:r>
            <w:r w:rsidR="009C1926">
              <w:t>of</w:t>
            </w:r>
            <w:r>
              <w:t xml:space="preserve"> the programme.</w:t>
            </w:r>
          </w:p>
          <w:p w14:paraId="4C186BE8" w14:textId="77777777" w:rsidR="00C71E62" w:rsidRDefault="00C71E62">
            <w:pPr>
              <w:pBdr>
                <w:top w:val="nil"/>
                <w:left w:val="nil"/>
                <w:bottom w:val="nil"/>
                <w:right w:val="nil"/>
                <w:between w:val="nil"/>
              </w:pBdr>
              <w:rPr>
                <w:highlight w:val="yellow"/>
              </w:rPr>
            </w:pPr>
          </w:p>
          <w:p w14:paraId="5FF0745A" w14:textId="2D815FDB" w:rsidR="00C71E62" w:rsidRDefault="00000000">
            <w:pPr>
              <w:pBdr>
                <w:top w:val="nil"/>
                <w:left w:val="nil"/>
                <w:bottom w:val="nil"/>
                <w:right w:val="nil"/>
                <w:between w:val="nil"/>
              </w:pBdr>
              <w:rPr>
                <w:highlight w:val="yellow"/>
              </w:rPr>
            </w:pPr>
            <w:r>
              <w:t xml:space="preserve">A typical timetabled week will include 12 hours per week of unit delivery, 4 units will be studied per semester with a weekly </w:t>
            </w:r>
            <w:r w:rsidR="009C1926">
              <w:t>3-hour</w:t>
            </w:r>
            <w:r>
              <w:t xml:space="preserve"> formal session, and 1-2 hours of tutorial time, usually over two full days.</w:t>
            </w:r>
          </w:p>
          <w:p w14:paraId="26AC8F11" w14:textId="77777777" w:rsidR="00C71E62" w:rsidRDefault="00C71E62">
            <w:pPr>
              <w:pBdr>
                <w:top w:val="nil"/>
                <w:left w:val="nil"/>
                <w:bottom w:val="nil"/>
                <w:right w:val="nil"/>
                <w:between w:val="nil"/>
              </w:pBdr>
              <w:rPr>
                <w:highlight w:val="yellow"/>
              </w:rPr>
            </w:pPr>
          </w:p>
          <w:p w14:paraId="44F94802" w14:textId="77777777" w:rsidR="00C71E62" w:rsidRDefault="00000000">
            <w:pPr>
              <w:pBdr>
                <w:top w:val="nil"/>
                <w:left w:val="nil"/>
                <w:bottom w:val="nil"/>
                <w:right w:val="nil"/>
                <w:between w:val="nil"/>
              </w:pBdr>
            </w:pPr>
            <w:r>
              <w:t>The HNC is made up of 8 units each worth 15 credits each, which equates to 1200 hours total qualification time. The total qualification time is split into 480 guided learning hours across the programme, 60 guided learning hours per unit. The remaining hours are allocated to independent study time, 720 hours across the programme, which is 90 hours per unit. This is approximately 6-7 hours per week and will include activities such as additional reading and preparation of assessments.</w:t>
            </w:r>
          </w:p>
          <w:p w14:paraId="2A4C3D7C" w14:textId="77777777" w:rsidR="00C71E62" w:rsidRDefault="00C71E62">
            <w:pPr>
              <w:pBdr>
                <w:top w:val="nil"/>
                <w:left w:val="nil"/>
                <w:bottom w:val="nil"/>
                <w:right w:val="nil"/>
                <w:between w:val="nil"/>
              </w:pBdr>
              <w:rPr>
                <w:color w:val="FF0000"/>
              </w:rPr>
            </w:pPr>
          </w:p>
          <w:p w14:paraId="49DF7FD5" w14:textId="77777777" w:rsidR="00C71E62" w:rsidRDefault="00000000">
            <w:pPr>
              <w:pBdr>
                <w:top w:val="nil"/>
                <w:left w:val="nil"/>
                <w:bottom w:val="nil"/>
                <w:right w:val="nil"/>
                <w:between w:val="nil"/>
              </w:pBdr>
              <w:rPr>
                <w:color w:val="000000"/>
              </w:rPr>
            </w:pPr>
            <w:r>
              <w:rPr>
                <w:color w:val="000000"/>
                <w:highlight w:val="white"/>
              </w:rPr>
              <w:t xml:space="preserve">All students are provided with the </w:t>
            </w:r>
            <w:proofErr w:type="spellStart"/>
            <w:r>
              <w:rPr>
                <w:highlight w:val="white"/>
              </w:rPr>
              <w:t>programme's</w:t>
            </w:r>
            <w:proofErr w:type="spellEnd"/>
            <w:r>
              <w:rPr>
                <w:color w:val="000000"/>
                <w:highlight w:val="white"/>
              </w:rPr>
              <w:t xml:space="preserve"> resources via the Virtual Learning Environment (VLE), known as Activate Learning On-line (ALO). This system also facilitates the running of online lessons, seminars and tutorials and is a key tool in the delivery of all our courses.</w:t>
            </w:r>
          </w:p>
          <w:p w14:paraId="1E37FAA7" w14:textId="77777777" w:rsidR="00C71E62" w:rsidRDefault="00C71E62">
            <w:pPr>
              <w:pBdr>
                <w:top w:val="nil"/>
                <w:left w:val="nil"/>
                <w:bottom w:val="nil"/>
                <w:right w:val="nil"/>
                <w:between w:val="nil"/>
              </w:pBdr>
              <w:rPr>
                <w:color w:val="000000"/>
              </w:rPr>
            </w:pPr>
          </w:p>
          <w:p w14:paraId="64979E33" w14:textId="6A726958" w:rsidR="00C71E62" w:rsidRDefault="00000000">
            <w:pPr>
              <w:pBdr>
                <w:top w:val="nil"/>
                <w:left w:val="nil"/>
                <w:bottom w:val="nil"/>
                <w:right w:val="nil"/>
                <w:between w:val="nil"/>
              </w:pBdr>
              <w:rPr>
                <w:color w:val="000000"/>
              </w:rPr>
            </w:pPr>
            <w:r>
              <w:rPr>
                <w:color w:val="000000"/>
              </w:rPr>
              <w:t xml:space="preserve">The Learning and Teaching strategy is designed to impart the knowledge, understanding and associated skills which are defined in the </w:t>
            </w:r>
            <w:proofErr w:type="spellStart"/>
            <w:r>
              <w:rPr>
                <w:color w:val="000000"/>
              </w:rPr>
              <w:t>programmes’</w:t>
            </w:r>
            <w:proofErr w:type="spellEnd"/>
            <w:r>
              <w:rPr>
                <w:color w:val="000000"/>
              </w:rPr>
              <w:t xml:space="preserve"> learning outcomes, and the assessment is designed to test that the learning has been achieved. Assessment also provides a framework for feedback on performance. Assessment is divided into </w:t>
            </w:r>
            <w:r>
              <w:rPr>
                <w:b/>
                <w:i/>
                <w:color w:val="000000"/>
              </w:rPr>
              <w:t xml:space="preserve">formative </w:t>
            </w:r>
            <w:r w:rsidR="00465CD1">
              <w:rPr>
                <w:b/>
                <w:i/>
                <w:color w:val="000000"/>
              </w:rPr>
              <w:t>assessments</w:t>
            </w:r>
            <w:r>
              <w:rPr>
                <w:color w:val="000000"/>
              </w:rPr>
              <w:t xml:space="preserve">, which provides a learning experience, and feedback which contributes to further learning, and </w:t>
            </w:r>
            <w:r>
              <w:rPr>
                <w:b/>
                <w:i/>
                <w:color w:val="000000"/>
              </w:rPr>
              <w:t>summative assessment</w:t>
            </w:r>
            <w:r>
              <w:rPr>
                <w:color w:val="000000"/>
              </w:rPr>
              <w:t>, which simply makes a judgement on the level of achievement.</w:t>
            </w:r>
          </w:p>
          <w:p w14:paraId="279CF9F3" w14:textId="77777777" w:rsidR="00C71E62" w:rsidRDefault="00C71E62">
            <w:pPr>
              <w:pBdr>
                <w:top w:val="nil"/>
                <w:left w:val="nil"/>
                <w:bottom w:val="nil"/>
                <w:right w:val="nil"/>
                <w:between w:val="nil"/>
              </w:pBdr>
              <w:rPr>
                <w:color w:val="000000"/>
              </w:rPr>
            </w:pPr>
          </w:p>
          <w:p w14:paraId="4C2D9693" w14:textId="77777777" w:rsidR="00C71E62" w:rsidRDefault="00C71E62">
            <w:pPr>
              <w:pBdr>
                <w:top w:val="nil"/>
                <w:left w:val="nil"/>
                <w:bottom w:val="nil"/>
                <w:right w:val="nil"/>
                <w:between w:val="nil"/>
              </w:pBdr>
              <w:rPr>
                <w:rFonts w:ascii="Times New Roman" w:eastAsia="Times New Roman" w:hAnsi="Times New Roman" w:cs="Times New Roman"/>
                <w:color w:val="000000"/>
                <w:sz w:val="24"/>
                <w:szCs w:val="24"/>
              </w:rPr>
            </w:pPr>
          </w:p>
        </w:tc>
      </w:tr>
    </w:tbl>
    <w:p w14:paraId="05FB5BD6" w14:textId="77777777" w:rsidR="00C71E62" w:rsidRDefault="00C71E62">
      <w:pPr>
        <w:pBdr>
          <w:top w:val="nil"/>
          <w:left w:val="nil"/>
          <w:bottom w:val="nil"/>
          <w:right w:val="nil"/>
          <w:between w:val="nil"/>
        </w:pBdr>
        <w:rPr>
          <w:color w:val="000000"/>
          <w:sz w:val="22"/>
          <w:szCs w:val="22"/>
        </w:rPr>
      </w:pPr>
    </w:p>
    <w:tbl>
      <w:tblPr>
        <w:tblStyle w:val="af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111"/>
        <w:gridCol w:w="2919"/>
      </w:tblGrid>
      <w:tr w:rsidR="00C71E62" w14:paraId="32EA74F9" w14:textId="77777777">
        <w:trPr>
          <w:tblHeader/>
        </w:trPr>
        <w:tc>
          <w:tcPr>
            <w:tcW w:w="1980" w:type="dxa"/>
            <w:shd w:val="clear" w:color="auto" w:fill="D9D9D9"/>
          </w:tcPr>
          <w:p w14:paraId="16FEDBB7" w14:textId="77777777" w:rsidR="00C71E62" w:rsidRDefault="00000000">
            <w:pPr>
              <w:pBdr>
                <w:top w:val="nil"/>
                <w:left w:val="nil"/>
                <w:bottom w:val="nil"/>
                <w:right w:val="nil"/>
                <w:between w:val="nil"/>
              </w:pBdr>
              <w:rPr>
                <w:b/>
                <w:color w:val="000000"/>
              </w:rPr>
            </w:pPr>
            <w:r>
              <w:rPr>
                <w:b/>
                <w:color w:val="000000"/>
              </w:rPr>
              <w:t>Learning intervention</w:t>
            </w:r>
          </w:p>
        </w:tc>
        <w:tc>
          <w:tcPr>
            <w:tcW w:w="4111" w:type="dxa"/>
            <w:shd w:val="clear" w:color="auto" w:fill="D9D9D9"/>
          </w:tcPr>
          <w:p w14:paraId="4A3FAD15" w14:textId="77777777" w:rsidR="00C71E62" w:rsidRDefault="00000000">
            <w:pPr>
              <w:pBdr>
                <w:top w:val="nil"/>
                <w:left w:val="nil"/>
                <w:bottom w:val="nil"/>
                <w:right w:val="nil"/>
                <w:between w:val="nil"/>
              </w:pBdr>
              <w:rPr>
                <w:b/>
                <w:color w:val="000000"/>
              </w:rPr>
            </w:pPr>
            <w:r>
              <w:rPr>
                <w:b/>
                <w:color w:val="000000"/>
              </w:rPr>
              <w:t>Content and Learning outcomes</w:t>
            </w:r>
          </w:p>
        </w:tc>
        <w:tc>
          <w:tcPr>
            <w:tcW w:w="2919" w:type="dxa"/>
            <w:shd w:val="clear" w:color="auto" w:fill="D9D9D9"/>
          </w:tcPr>
          <w:p w14:paraId="07DFE1EA" w14:textId="77777777" w:rsidR="00C71E62" w:rsidRDefault="00000000">
            <w:pPr>
              <w:pBdr>
                <w:top w:val="nil"/>
                <w:left w:val="nil"/>
                <w:bottom w:val="nil"/>
                <w:right w:val="nil"/>
                <w:between w:val="nil"/>
              </w:pBdr>
              <w:rPr>
                <w:b/>
                <w:color w:val="000000"/>
              </w:rPr>
            </w:pPr>
            <w:r>
              <w:rPr>
                <w:b/>
                <w:color w:val="000000"/>
              </w:rPr>
              <w:t>Mode of experience</w:t>
            </w:r>
          </w:p>
        </w:tc>
      </w:tr>
      <w:tr w:rsidR="00C71E62" w14:paraId="46746A4F" w14:textId="77777777">
        <w:tc>
          <w:tcPr>
            <w:tcW w:w="1980" w:type="dxa"/>
          </w:tcPr>
          <w:p w14:paraId="67963950" w14:textId="77777777" w:rsidR="00C71E62" w:rsidRDefault="00000000">
            <w:pPr>
              <w:pBdr>
                <w:top w:val="nil"/>
                <w:left w:val="nil"/>
                <w:bottom w:val="nil"/>
                <w:right w:val="nil"/>
                <w:between w:val="nil"/>
              </w:pBdr>
              <w:rPr>
                <w:color w:val="000000"/>
              </w:rPr>
            </w:pPr>
            <w:r>
              <w:rPr>
                <w:color w:val="000000"/>
              </w:rPr>
              <w:t>Lectures</w:t>
            </w:r>
          </w:p>
        </w:tc>
        <w:tc>
          <w:tcPr>
            <w:tcW w:w="4111" w:type="dxa"/>
          </w:tcPr>
          <w:p w14:paraId="0921AF7F" w14:textId="77777777" w:rsidR="00C71E62" w:rsidRDefault="00000000">
            <w:pPr>
              <w:pBdr>
                <w:top w:val="nil"/>
                <w:left w:val="nil"/>
                <w:bottom w:val="nil"/>
                <w:right w:val="nil"/>
                <w:between w:val="nil"/>
              </w:pBdr>
              <w:rPr>
                <w:color w:val="000000"/>
              </w:rPr>
            </w:pPr>
            <w:r>
              <w:rPr>
                <w:color w:val="000000"/>
              </w:rPr>
              <w:t xml:space="preserve">These are the most common techniques used by tutors. They offer an opportunity to engage with a large number of students, where the focus is on sharing knowledge through the use of presentations. They are used to provide an introduction to each topic area, contextualizing students’ </w:t>
            </w:r>
            <w:r>
              <w:t xml:space="preserve">pre </w:t>
            </w:r>
            <w:r>
              <w:lastRenderedPageBreak/>
              <w:t>reading</w:t>
            </w:r>
            <w:r>
              <w:rPr>
                <w:color w:val="000000"/>
              </w:rPr>
              <w:t xml:space="preserve"> and drawing out interesting points of academic interest in a practical</w:t>
            </w:r>
            <w:r>
              <w:t xml:space="preserve"> sporting </w:t>
            </w:r>
            <w:r>
              <w:rPr>
                <w:color w:val="000000"/>
              </w:rPr>
              <w:t>context.</w:t>
            </w:r>
          </w:p>
        </w:tc>
        <w:tc>
          <w:tcPr>
            <w:tcW w:w="2919" w:type="dxa"/>
          </w:tcPr>
          <w:p w14:paraId="6C565128" w14:textId="2BF53E25" w:rsidR="00C71E62" w:rsidRDefault="00000000">
            <w:pPr>
              <w:pBdr>
                <w:top w:val="nil"/>
                <w:left w:val="nil"/>
                <w:bottom w:val="nil"/>
                <w:right w:val="nil"/>
                <w:between w:val="nil"/>
              </w:pBdr>
              <w:rPr>
                <w:color w:val="000000"/>
              </w:rPr>
            </w:pPr>
            <w:r>
              <w:rPr>
                <w:color w:val="000000"/>
              </w:rPr>
              <w:lastRenderedPageBreak/>
              <w:t xml:space="preserve">These </w:t>
            </w:r>
            <w:r>
              <w:t>will</w:t>
            </w:r>
            <w:r>
              <w:rPr>
                <w:color w:val="000000"/>
              </w:rPr>
              <w:t xml:space="preserve"> be experienced as </w:t>
            </w:r>
            <w:r>
              <w:t xml:space="preserve">weekly interactive online sessions and </w:t>
            </w:r>
            <w:r>
              <w:rPr>
                <w:color w:val="000000"/>
              </w:rPr>
              <w:t xml:space="preserve">live during </w:t>
            </w:r>
            <w:r w:rsidR="00465CD1">
              <w:rPr>
                <w:color w:val="000000"/>
              </w:rPr>
              <w:t>face-to-face</w:t>
            </w:r>
            <w:r>
              <w:rPr>
                <w:color w:val="000000"/>
              </w:rPr>
              <w:t xml:space="preserve"> weeks</w:t>
            </w:r>
            <w:r>
              <w:t>. The lectures also have</w:t>
            </w:r>
            <w:r>
              <w:rPr>
                <w:color w:val="000000"/>
              </w:rPr>
              <w:t xml:space="preserve"> the facility to ask questions or be </w:t>
            </w:r>
            <w:r w:rsidR="00465CD1">
              <w:t>prerecorded</w:t>
            </w:r>
            <w:r>
              <w:rPr>
                <w:color w:val="000000"/>
              </w:rPr>
              <w:t xml:space="preserve"> with an </w:t>
            </w:r>
            <w:r>
              <w:rPr>
                <w:color w:val="000000"/>
              </w:rPr>
              <w:lastRenderedPageBreak/>
              <w:t xml:space="preserve">interactive question and answer session. </w:t>
            </w:r>
          </w:p>
        </w:tc>
      </w:tr>
      <w:tr w:rsidR="00C71E62" w14:paraId="744EAAFC" w14:textId="77777777">
        <w:tc>
          <w:tcPr>
            <w:tcW w:w="1980" w:type="dxa"/>
          </w:tcPr>
          <w:p w14:paraId="7B1F3F6C" w14:textId="77777777" w:rsidR="00C71E62" w:rsidRDefault="00000000">
            <w:pPr>
              <w:pBdr>
                <w:top w:val="nil"/>
                <w:left w:val="nil"/>
                <w:bottom w:val="nil"/>
                <w:right w:val="nil"/>
                <w:between w:val="nil"/>
              </w:pBdr>
              <w:rPr>
                <w:color w:val="000000"/>
              </w:rPr>
            </w:pPr>
            <w:r>
              <w:rPr>
                <w:color w:val="000000"/>
              </w:rPr>
              <w:lastRenderedPageBreak/>
              <w:t>Seminars</w:t>
            </w:r>
          </w:p>
        </w:tc>
        <w:tc>
          <w:tcPr>
            <w:tcW w:w="4111" w:type="dxa"/>
          </w:tcPr>
          <w:p w14:paraId="78D1138F" w14:textId="77777777" w:rsidR="00C71E62" w:rsidRDefault="00000000">
            <w:pPr>
              <w:pBdr>
                <w:top w:val="nil"/>
                <w:left w:val="nil"/>
                <w:bottom w:val="nil"/>
                <w:right w:val="nil"/>
                <w:between w:val="nil"/>
              </w:pBdr>
              <w:rPr>
                <w:color w:val="000000"/>
              </w:rPr>
            </w:pPr>
            <w:r>
              <w:rPr>
                <w:color w:val="000000"/>
              </w:rPr>
              <w:t xml:space="preserve">These provide a forum for students to explore practice techniques and explore and apply theory to problems and case studies, developing their skills and deepening their knowledge in the process. They are often premised upon the flipped classroom approach, with students expected to have reviewed the lecture, done the reading, and prepared exercises in advance. </w:t>
            </w:r>
          </w:p>
        </w:tc>
        <w:tc>
          <w:tcPr>
            <w:tcW w:w="2919" w:type="dxa"/>
          </w:tcPr>
          <w:p w14:paraId="07E84293" w14:textId="77777777" w:rsidR="00C71E62" w:rsidRDefault="00000000">
            <w:pPr>
              <w:pBdr>
                <w:top w:val="nil"/>
                <w:left w:val="nil"/>
                <w:bottom w:val="nil"/>
                <w:right w:val="nil"/>
                <w:between w:val="nil"/>
              </w:pBdr>
              <w:rPr>
                <w:color w:val="000000"/>
              </w:rPr>
            </w:pPr>
            <w:r>
              <w:rPr>
                <w:color w:val="000000"/>
              </w:rPr>
              <w:t>These are small group sessions timetabled through ALO to discuss the unit topics.  These are delivered either via face to face on campus or through video conferencing on the VLE.</w:t>
            </w:r>
          </w:p>
        </w:tc>
      </w:tr>
      <w:tr w:rsidR="00C71E62" w14:paraId="542729A1" w14:textId="77777777">
        <w:tc>
          <w:tcPr>
            <w:tcW w:w="1980" w:type="dxa"/>
          </w:tcPr>
          <w:p w14:paraId="09027E7C" w14:textId="77777777" w:rsidR="00C71E62" w:rsidRDefault="00000000">
            <w:pPr>
              <w:pBdr>
                <w:top w:val="nil"/>
                <w:left w:val="nil"/>
                <w:bottom w:val="nil"/>
                <w:right w:val="nil"/>
                <w:between w:val="nil"/>
              </w:pBdr>
              <w:rPr>
                <w:color w:val="000000"/>
              </w:rPr>
            </w:pPr>
            <w:r>
              <w:rPr>
                <w:color w:val="000000"/>
              </w:rPr>
              <w:t>Tutorial /Feedback sessions</w:t>
            </w:r>
          </w:p>
        </w:tc>
        <w:tc>
          <w:tcPr>
            <w:tcW w:w="4111" w:type="dxa"/>
          </w:tcPr>
          <w:p w14:paraId="3FBB151E" w14:textId="77777777" w:rsidR="00C71E62" w:rsidRDefault="00000000">
            <w:pPr>
              <w:pBdr>
                <w:top w:val="nil"/>
                <w:left w:val="nil"/>
                <w:bottom w:val="nil"/>
                <w:right w:val="nil"/>
                <w:between w:val="nil"/>
              </w:pBdr>
              <w:rPr>
                <w:color w:val="000000"/>
              </w:rPr>
            </w:pPr>
            <w:r>
              <w:rPr>
                <w:color w:val="000000"/>
              </w:rPr>
              <w:t>These provide an opportunity for students to develop their individual learning through individual or small group contact with their lecturer. These sessions provide the opportunity for students to clarify issues arising from their reading / any of the above activities, as well as to seek guidance on how to develop and improve their skills. There is no formal teaching structure for these sessions. Students might use these to</w:t>
            </w:r>
          </w:p>
          <w:p w14:paraId="0725F0FA" w14:textId="77777777" w:rsidR="00C71E62" w:rsidRDefault="00000000">
            <w:pPr>
              <w:numPr>
                <w:ilvl w:val="0"/>
                <w:numId w:val="11"/>
              </w:numPr>
              <w:pBdr>
                <w:top w:val="nil"/>
                <w:left w:val="nil"/>
                <w:bottom w:val="nil"/>
                <w:right w:val="nil"/>
                <w:between w:val="nil"/>
              </w:pBdr>
            </w:pPr>
            <w:r>
              <w:rPr>
                <w:color w:val="000000"/>
              </w:rPr>
              <w:t xml:space="preserve">revisit topics covered in lectures, seminars or their own individual study </w:t>
            </w:r>
          </w:p>
          <w:p w14:paraId="559A4876" w14:textId="77777777" w:rsidR="00C71E62" w:rsidRDefault="00000000">
            <w:pPr>
              <w:numPr>
                <w:ilvl w:val="0"/>
                <w:numId w:val="11"/>
              </w:numPr>
              <w:pBdr>
                <w:top w:val="nil"/>
                <w:left w:val="nil"/>
                <w:bottom w:val="nil"/>
                <w:right w:val="nil"/>
                <w:between w:val="nil"/>
              </w:pBdr>
              <w:rPr>
                <w:color w:val="000000"/>
              </w:rPr>
            </w:pPr>
            <w:r>
              <w:rPr>
                <w:color w:val="000000"/>
              </w:rPr>
              <w:t xml:space="preserve">ii) develop their understanding of topics covered in lectures and seminars </w:t>
            </w:r>
          </w:p>
          <w:p w14:paraId="1ADAC610" w14:textId="77777777" w:rsidR="00C71E62" w:rsidRDefault="00000000">
            <w:pPr>
              <w:numPr>
                <w:ilvl w:val="0"/>
                <w:numId w:val="11"/>
              </w:numPr>
              <w:pBdr>
                <w:top w:val="nil"/>
                <w:left w:val="nil"/>
                <w:bottom w:val="nil"/>
                <w:right w:val="nil"/>
                <w:between w:val="nil"/>
              </w:pBdr>
              <w:rPr>
                <w:color w:val="000000"/>
              </w:rPr>
            </w:pPr>
            <w:r>
              <w:rPr>
                <w:color w:val="000000"/>
              </w:rPr>
              <w:t>iii) obtain formative feedback on work or coursework assessments.</w:t>
            </w:r>
          </w:p>
        </w:tc>
        <w:tc>
          <w:tcPr>
            <w:tcW w:w="2919" w:type="dxa"/>
          </w:tcPr>
          <w:p w14:paraId="55ED1C91" w14:textId="77777777" w:rsidR="00C71E62" w:rsidRDefault="00000000">
            <w:pPr>
              <w:pBdr>
                <w:top w:val="nil"/>
                <w:left w:val="nil"/>
                <w:bottom w:val="nil"/>
                <w:right w:val="nil"/>
                <w:between w:val="nil"/>
              </w:pBdr>
              <w:rPr>
                <w:color w:val="000000"/>
              </w:rPr>
            </w:pPr>
            <w:r>
              <w:rPr>
                <w:color w:val="000000"/>
              </w:rPr>
              <w:t>Students can book time during staff ‘Office hours’ using the calendar on ALO. These give students the opportunity to have individual time to discuss their progress and address any academic questions. They can choose to attend individually or in small groups depending on the topic under discussion.</w:t>
            </w:r>
          </w:p>
          <w:p w14:paraId="046DCED4" w14:textId="77777777" w:rsidR="00C71E62" w:rsidRDefault="00C71E62">
            <w:pPr>
              <w:pBdr>
                <w:top w:val="nil"/>
                <w:left w:val="nil"/>
                <w:bottom w:val="nil"/>
                <w:right w:val="nil"/>
                <w:between w:val="nil"/>
              </w:pBdr>
              <w:rPr>
                <w:color w:val="000000"/>
              </w:rPr>
            </w:pPr>
          </w:p>
          <w:p w14:paraId="03A460ED" w14:textId="77777777" w:rsidR="00C71E62" w:rsidRDefault="00000000">
            <w:pPr>
              <w:pBdr>
                <w:top w:val="nil"/>
                <w:left w:val="nil"/>
                <w:bottom w:val="nil"/>
                <w:right w:val="nil"/>
                <w:between w:val="nil"/>
              </w:pBdr>
              <w:rPr>
                <w:color w:val="000000"/>
              </w:rPr>
            </w:pPr>
            <w:r>
              <w:t>The students</w:t>
            </w:r>
            <w:r>
              <w:rPr>
                <w:color w:val="000000"/>
              </w:rPr>
              <w:t xml:space="preserve"> will be able to access these sessions via video call.   </w:t>
            </w:r>
          </w:p>
        </w:tc>
      </w:tr>
      <w:tr w:rsidR="00C71E62" w14:paraId="500B3261" w14:textId="77777777">
        <w:tc>
          <w:tcPr>
            <w:tcW w:w="1980" w:type="dxa"/>
          </w:tcPr>
          <w:p w14:paraId="7D74F4E7" w14:textId="77777777" w:rsidR="00C71E62" w:rsidRDefault="00000000">
            <w:pPr>
              <w:pBdr>
                <w:top w:val="nil"/>
                <w:left w:val="nil"/>
                <w:bottom w:val="nil"/>
                <w:right w:val="nil"/>
                <w:between w:val="nil"/>
              </w:pBdr>
              <w:rPr>
                <w:color w:val="000000"/>
              </w:rPr>
            </w:pPr>
            <w:r>
              <w:rPr>
                <w:color w:val="000000"/>
              </w:rPr>
              <w:t>Workshops</w:t>
            </w:r>
          </w:p>
        </w:tc>
        <w:tc>
          <w:tcPr>
            <w:tcW w:w="4111" w:type="dxa"/>
          </w:tcPr>
          <w:p w14:paraId="0AE445F2" w14:textId="77777777" w:rsidR="00C71E62" w:rsidRDefault="00000000">
            <w:pPr>
              <w:pBdr>
                <w:top w:val="nil"/>
                <w:left w:val="nil"/>
                <w:bottom w:val="nil"/>
                <w:right w:val="nil"/>
                <w:between w:val="nil"/>
              </w:pBdr>
              <w:rPr>
                <w:color w:val="000000"/>
              </w:rPr>
            </w:pPr>
            <w:r>
              <w:rPr>
                <w:color w:val="000000"/>
              </w:rPr>
              <w:t>These provide a forum for students to apply the knowledge and skills that they have developed in the context of practical sessions. External speakers will also contribute to workshops. The focus here is on the development of general transferable skills</w:t>
            </w:r>
          </w:p>
        </w:tc>
        <w:tc>
          <w:tcPr>
            <w:tcW w:w="2919" w:type="dxa"/>
          </w:tcPr>
          <w:p w14:paraId="725C0A7C" w14:textId="7B6F107F" w:rsidR="00C71E62" w:rsidRDefault="00000000">
            <w:pPr>
              <w:pBdr>
                <w:top w:val="nil"/>
                <w:left w:val="nil"/>
                <w:bottom w:val="nil"/>
                <w:right w:val="nil"/>
                <w:between w:val="nil"/>
              </w:pBdr>
              <w:rPr>
                <w:color w:val="000000"/>
              </w:rPr>
            </w:pPr>
            <w:r>
              <w:rPr>
                <w:color w:val="000000"/>
              </w:rPr>
              <w:t>These may be experienced as</w:t>
            </w:r>
            <w:r>
              <w:t xml:space="preserve"> interactive online sessions and live during </w:t>
            </w:r>
            <w:r w:rsidR="00465CD1">
              <w:t>face-to-face</w:t>
            </w:r>
            <w:r>
              <w:t xml:space="preserve"> weeks.</w:t>
            </w:r>
          </w:p>
        </w:tc>
      </w:tr>
      <w:tr w:rsidR="00C71E62" w14:paraId="2D1EACF2" w14:textId="77777777">
        <w:tc>
          <w:tcPr>
            <w:tcW w:w="1980" w:type="dxa"/>
          </w:tcPr>
          <w:p w14:paraId="58988C7A" w14:textId="77777777" w:rsidR="00C71E62" w:rsidRDefault="00000000">
            <w:pPr>
              <w:pBdr>
                <w:top w:val="nil"/>
                <w:left w:val="nil"/>
                <w:bottom w:val="nil"/>
                <w:right w:val="nil"/>
                <w:between w:val="nil"/>
              </w:pBdr>
              <w:rPr>
                <w:color w:val="000000"/>
              </w:rPr>
            </w:pPr>
            <w:r>
              <w:rPr>
                <w:color w:val="000000"/>
              </w:rPr>
              <w:t>One-to-one support</w:t>
            </w:r>
          </w:p>
        </w:tc>
        <w:tc>
          <w:tcPr>
            <w:tcW w:w="4111" w:type="dxa"/>
          </w:tcPr>
          <w:p w14:paraId="6F520AF8" w14:textId="77777777" w:rsidR="00C71E62" w:rsidRDefault="00000000">
            <w:pPr>
              <w:pBdr>
                <w:top w:val="nil"/>
                <w:left w:val="nil"/>
                <w:bottom w:val="nil"/>
                <w:right w:val="nil"/>
                <w:between w:val="nil"/>
              </w:pBdr>
              <w:rPr>
                <w:color w:val="000000"/>
              </w:rPr>
            </w:pPr>
            <w:r>
              <w:rPr>
                <w:color w:val="000000"/>
              </w:rPr>
              <w:t>These provide the opportunity for students to discuss wider issues related to their learning As such, there is both a knowledge, skills and welfare component to this support, albeit tailored to the specific needs of the individual students.</w:t>
            </w:r>
          </w:p>
          <w:p w14:paraId="397BC674" w14:textId="77777777" w:rsidR="00C71E62" w:rsidRDefault="00000000">
            <w:pPr>
              <w:pBdr>
                <w:top w:val="nil"/>
                <w:left w:val="nil"/>
                <w:bottom w:val="nil"/>
                <w:right w:val="nil"/>
                <w:between w:val="nil"/>
              </w:pBdr>
              <w:rPr>
                <w:color w:val="000000"/>
              </w:rPr>
            </w:pPr>
            <w:r>
              <w:rPr>
                <w:color w:val="000000"/>
              </w:rPr>
              <w:t>These sessions are also available for specific HE study support</w:t>
            </w:r>
            <w:r>
              <w:t>.</w:t>
            </w:r>
          </w:p>
        </w:tc>
        <w:tc>
          <w:tcPr>
            <w:tcW w:w="2919" w:type="dxa"/>
          </w:tcPr>
          <w:p w14:paraId="5C791B71" w14:textId="77777777" w:rsidR="00C71E62" w:rsidRDefault="00000000">
            <w:pPr>
              <w:pBdr>
                <w:top w:val="nil"/>
                <w:left w:val="nil"/>
                <w:bottom w:val="nil"/>
                <w:right w:val="nil"/>
                <w:between w:val="nil"/>
              </w:pBdr>
              <w:rPr>
                <w:color w:val="000000"/>
              </w:rPr>
            </w:pPr>
            <w:r>
              <w:rPr>
                <w:color w:val="000000"/>
              </w:rPr>
              <w:t xml:space="preserve">Students will have open access to their module tutor and a personal academic tutor for advice by a range of communication methods (face to face, telephone, email, chat etc.). Again, these can be booked via the ALO calendar </w:t>
            </w:r>
          </w:p>
        </w:tc>
      </w:tr>
      <w:tr w:rsidR="00C71E62" w14:paraId="337173CB" w14:textId="77777777">
        <w:tc>
          <w:tcPr>
            <w:tcW w:w="1980" w:type="dxa"/>
          </w:tcPr>
          <w:p w14:paraId="0CDD932A" w14:textId="77777777" w:rsidR="00C71E62" w:rsidRDefault="00000000">
            <w:pPr>
              <w:pBdr>
                <w:top w:val="nil"/>
                <w:left w:val="nil"/>
                <w:bottom w:val="nil"/>
                <w:right w:val="nil"/>
                <w:between w:val="nil"/>
              </w:pBdr>
              <w:rPr>
                <w:color w:val="000000"/>
              </w:rPr>
            </w:pPr>
            <w:r>
              <w:rPr>
                <w:color w:val="000000"/>
              </w:rPr>
              <w:t>Virtual Learning Environment (VLE).</w:t>
            </w:r>
          </w:p>
          <w:p w14:paraId="2B635E2B" w14:textId="77777777" w:rsidR="00C71E62" w:rsidRDefault="00000000">
            <w:pPr>
              <w:pBdr>
                <w:top w:val="nil"/>
                <w:left w:val="nil"/>
                <w:bottom w:val="nil"/>
                <w:right w:val="nil"/>
                <w:between w:val="nil"/>
              </w:pBdr>
              <w:rPr>
                <w:color w:val="000000"/>
              </w:rPr>
            </w:pPr>
            <w:r>
              <w:rPr>
                <w:color w:val="000000"/>
              </w:rPr>
              <w:t xml:space="preserve"> Activate learning Online (ALO</w:t>
            </w:r>
          </w:p>
        </w:tc>
        <w:tc>
          <w:tcPr>
            <w:tcW w:w="4111" w:type="dxa"/>
          </w:tcPr>
          <w:p w14:paraId="1E205C08" w14:textId="77777777" w:rsidR="00C71E62" w:rsidRDefault="00000000">
            <w:pPr>
              <w:pBdr>
                <w:top w:val="nil"/>
                <w:left w:val="nil"/>
                <w:bottom w:val="nil"/>
                <w:right w:val="nil"/>
                <w:between w:val="nil"/>
              </w:pBdr>
              <w:rPr>
                <w:color w:val="000000"/>
              </w:rPr>
            </w:pPr>
            <w:r>
              <w:rPr>
                <w:color w:val="000000"/>
              </w:rPr>
              <w:t xml:space="preserve">Our VLE known as ALO is invaluable.  It is more than a repository for taught material such as presentation slides or handouts. Further reading could also be located on a ALO, along with a copy of the programme documents, such as the </w:t>
            </w:r>
            <w:r>
              <w:rPr>
                <w:color w:val="000000"/>
              </w:rPr>
              <w:lastRenderedPageBreak/>
              <w:t xml:space="preserve">handbook and assessment timetable. Submission of student work </w:t>
            </w:r>
            <w:r>
              <w:t>also takes place on the ALO to support processes and procedures for assessment.</w:t>
            </w:r>
          </w:p>
        </w:tc>
        <w:tc>
          <w:tcPr>
            <w:tcW w:w="2919" w:type="dxa"/>
          </w:tcPr>
          <w:p w14:paraId="5A777286" w14:textId="77777777" w:rsidR="00C71E62" w:rsidRDefault="00000000">
            <w:pPr>
              <w:pBdr>
                <w:top w:val="nil"/>
                <w:left w:val="nil"/>
                <w:bottom w:val="nil"/>
                <w:right w:val="nil"/>
                <w:between w:val="nil"/>
              </w:pBdr>
              <w:rPr>
                <w:color w:val="000000"/>
              </w:rPr>
            </w:pPr>
            <w:r>
              <w:rPr>
                <w:color w:val="000000"/>
              </w:rPr>
              <w:lastRenderedPageBreak/>
              <w:t xml:space="preserve">ALO is used as the conduit for effective teaching and learning all delivery it is via the VLE and all formative and summative </w:t>
            </w:r>
            <w:r>
              <w:rPr>
                <w:color w:val="000000"/>
              </w:rPr>
              <w:lastRenderedPageBreak/>
              <w:t>assessment is undertaken via ALO</w:t>
            </w:r>
          </w:p>
        </w:tc>
      </w:tr>
      <w:tr w:rsidR="00C71E62" w14:paraId="4CE43A42" w14:textId="77777777">
        <w:trPr>
          <w:trHeight w:val="1587"/>
        </w:trPr>
        <w:tc>
          <w:tcPr>
            <w:tcW w:w="1980" w:type="dxa"/>
          </w:tcPr>
          <w:p w14:paraId="227408EA" w14:textId="77777777" w:rsidR="00C71E62" w:rsidRDefault="00000000">
            <w:pPr>
              <w:pBdr>
                <w:top w:val="nil"/>
                <w:left w:val="nil"/>
                <w:bottom w:val="nil"/>
                <w:right w:val="nil"/>
                <w:between w:val="nil"/>
              </w:pBdr>
              <w:rPr>
                <w:color w:val="000000"/>
              </w:rPr>
            </w:pPr>
            <w:r>
              <w:rPr>
                <w:color w:val="000000"/>
              </w:rPr>
              <w:lastRenderedPageBreak/>
              <w:t>Practical sessions</w:t>
            </w:r>
          </w:p>
        </w:tc>
        <w:tc>
          <w:tcPr>
            <w:tcW w:w="4111" w:type="dxa"/>
          </w:tcPr>
          <w:p w14:paraId="5886CE80" w14:textId="65D6CA73" w:rsidR="00C71E62" w:rsidRDefault="00000000">
            <w:pPr>
              <w:pBdr>
                <w:top w:val="nil"/>
                <w:left w:val="nil"/>
                <w:bottom w:val="nil"/>
                <w:right w:val="nil"/>
                <w:between w:val="nil"/>
              </w:pBdr>
            </w:pPr>
            <w:r>
              <w:t xml:space="preserve">Practical sessions take place in the </w:t>
            </w:r>
            <w:r w:rsidR="00465CD1">
              <w:t>face-to-face</w:t>
            </w:r>
            <w:r>
              <w:t xml:space="preserve"> weeks to support the academic theory covered during online lectures, seminars and workshops. </w:t>
            </w:r>
          </w:p>
          <w:p w14:paraId="46ACE801" w14:textId="77777777" w:rsidR="00C71E62" w:rsidRDefault="00C71E62">
            <w:pPr>
              <w:pBdr>
                <w:top w:val="nil"/>
                <w:left w:val="nil"/>
                <w:bottom w:val="nil"/>
                <w:right w:val="nil"/>
                <w:between w:val="nil"/>
              </w:pBdr>
            </w:pPr>
          </w:p>
          <w:p w14:paraId="724D5097" w14:textId="77777777" w:rsidR="00C71E62" w:rsidRDefault="00000000">
            <w:pPr>
              <w:pBdr>
                <w:top w:val="nil"/>
                <w:left w:val="nil"/>
                <w:bottom w:val="nil"/>
                <w:right w:val="nil"/>
                <w:between w:val="nil"/>
              </w:pBdr>
            </w:pPr>
            <w:r>
              <w:t>Students are able to undertake practical assessments during these sessions.</w:t>
            </w:r>
          </w:p>
        </w:tc>
        <w:tc>
          <w:tcPr>
            <w:tcW w:w="2919" w:type="dxa"/>
          </w:tcPr>
          <w:p w14:paraId="1B19B615" w14:textId="0D77EFCF" w:rsidR="00C71E62" w:rsidRDefault="00000000">
            <w:pPr>
              <w:pBdr>
                <w:top w:val="nil"/>
                <w:left w:val="nil"/>
                <w:bottom w:val="nil"/>
                <w:right w:val="nil"/>
                <w:between w:val="nil"/>
              </w:pBdr>
            </w:pPr>
            <w:r>
              <w:t xml:space="preserve">Students will be required to attend </w:t>
            </w:r>
            <w:r w:rsidR="00465CD1">
              <w:t>face-to-face</w:t>
            </w:r>
            <w:r>
              <w:t xml:space="preserve"> practical sessions which support learning. This will include practical assessments for specific units. </w:t>
            </w:r>
          </w:p>
          <w:p w14:paraId="446AF59B" w14:textId="77777777" w:rsidR="00C71E62" w:rsidRDefault="00C71E62">
            <w:pPr>
              <w:pBdr>
                <w:top w:val="nil"/>
                <w:left w:val="nil"/>
                <w:bottom w:val="nil"/>
                <w:right w:val="nil"/>
                <w:between w:val="nil"/>
              </w:pBdr>
            </w:pPr>
          </w:p>
          <w:p w14:paraId="565D1B11" w14:textId="77777777" w:rsidR="00C71E62" w:rsidRDefault="00000000">
            <w:pPr>
              <w:pBdr>
                <w:top w:val="nil"/>
                <w:left w:val="nil"/>
                <w:bottom w:val="nil"/>
                <w:right w:val="nil"/>
                <w:between w:val="nil"/>
              </w:pBdr>
            </w:pPr>
            <w:r>
              <w:t>Students will also be expected to undertake practical sessions away from the timetable as supporting evidence for assessments.</w:t>
            </w:r>
          </w:p>
        </w:tc>
      </w:tr>
    </w:tbl>
    <w:p w14:paraId="6A9BE312" w14:textId="77777777" w:rsidR="00C71E62" w:rsidRDefault="00C71E62">
      <w:pPr>
        <w:pBdr>
          <w:top w:val="nil"/>
          <w:left w:val="nil"/>
          <w:bottom w:val="nil"/>
          <w:right w:val="nil"/>
          <w:between w:val="nil"/>
        </w:pBdr>
        <w:rPr>
          <w:b/>
          <w:color w:val="000000"/>
          <w:sz w:val="22"/>
          <w:szCs w:val="22"/>
        </w:rPr>
      </w:pPr>
    </w:p>
    <w:tbl>
      <w:tblPr>
        <w:tblStyle w:val="af5"/>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693752DF" w14:textId="77777777">
        <w:trPr>
          <w:tblHeader/>
        </w:trPr>
        <w:tc>
          <w:tcPr>
            <w:tcW w:w="9010" w:type="dxa"/>
            <w:shd w:val="clear" w:color="auto" w:fill="000000"/>
          </w:tcPr>
          <w:p w14:paraId="7963155C" w14:textId="77777777" w:rsidR="00C71E62" w:rsidRDefault="00000000">
            <w:pPr>
              <w:pBdr>
                <w:top w:val="nil"/>
                <w:left w:val="nil"/>
                <w:bottom w:val="nil"/>
                <w:right w:val="nil"/>
                <w:between w:val="nil"/>
              </w:pBdr>
              <w:rPr>
                <w:b/>
                <w:color w:val="FFFFFF"/>
              </w:rPr>
            </w:pPr>
            <w:r>
              <w:rPr>
                <w:b/>
                <w:color w:val="FFFFFF"/>
              </w:rPr>
              <w:t>Assessment Strategy</w:t>
            </w:r>
          </w:p>
        </w:tc>
      </w:tr>
      <w:tr w:rsidR="00C71E62" w14:paraId="669582B5" w14:textId="77777777">
        <w:tc>
          <w:tcPr>
            <w:tcW w:w="9010" w:type="dxa"/>
          </w:tcPr>
          <w:p w14:paraId="0A7316F2" w14:textId="77777777" w:rsidR="00C71E62" w:rsidRDefault="00000000">
            <w:pPr>
              <w:pBdr>
                <w:top w:val="nil"/>
                <w:left w:val="nil"/>
                <w:bottom w:val="nil"/>
                <w:right w:val="nil"/>
                <w:between w:val="nil"/>
              </w:pBdr>
              <w:rPr>
                <w:color w:val="000000"/>
              </w:rPr>
            </w:pPr>
            <w:r>
              <w:rPr>
                <w:color w:val="000000"/>
              </w:rPr>
              <w:t xml:space="preserve">A wide range of assessment methods are applied. These aim to recognise and test the diverse skills that a sports practitioner needs to have. Assessment methods in each unit have been chosen to reflect the learning outcomes they assess. As several units contain both theoretical and practical elements, it is common to find assessments which address both components. </w:t>
            </w:r>
          </w:p>
          <w:p w14:paraId="7C4404E6" w14:textId="77777777" w:rsidR="00C71E62" w:rsidRDefault="00000000">
            <w:pPr>
              <w:pBdr>
                <w:top w:val="nil"/>
                <w:left w:val="nil"/>
                <w:bottom w:val="nil"/>
                <w:right w:val="nil"/>
                <w:between w:val="nil"/>
              </w:pBdr>
              <w:rPr>
                <w:color w:val="000000"/>
              </w:rPr>
            </w:pPr>
            <w:r>
              <w:rPr>
                <w:color w:val="000000"/>
              </w:rPr>
              <w:t xml:space="preserve"> </w:t>
            </w:r>
          </w:p>
          <w:p w14:paraId="587CD43A" w14:textId="77777777" w:rsidR="00C71E62" w:rsidRDefault="00000000">
            <w:pPr>
              <w:pBdr>
                <w:top w:val="nil"/>
                <w:left w:val="nil"/>
                <w:bottom w:val="nil"/>
                <w:right w:val="nil"/>
                <w:between w:val="nil"/>
              </w:pBdr>
              <w:rPr>
                <w:color w:val="000000"/>
              </w:rPr>
            </w:pPr>
            <w:r>
              <w:rPr>
                <w:color w:val="000000"/>
              </w:rPr>
              <w:t>Students are also provided with an assessment schedule which identifies the publication and submission dates for all assignments.</w:t>
            </w:r>
          </w:p>
          <w:p w14:paraId="47E6ABD5" w14:textId="77777777" w:rsidR="00C71E62" w:rsidRDefault="00C71E62">
            <w:pPr>
              <w:pBdr>
                <w:top w:val="nil"/>
                <w:left w:val="nil"/>
                <w:bottom w:val="nil"/>
                <w:right w:val="nil"/>
                <w:between w:val="nil"/>
              </w:pBdr>
              <w:rPr>
                <w:color w:val="000000"/>
              </w:rPr>
            </w:pPr>
          </w:p>
          <w:p w14:paraId="775AE065" w14:textId="38FF2D86" w:rsidR="00C71E62" w:rsidRDefault="00000000">
            <w:pPr>
              <w:pBdr>
                <w:top w:val="nil"/>
                <w:left w:val="nil"/>
                <w:bottom w:val="nil"/>
                <w:right w:val="nil"/>
                <w:between w:val="nil"/>
              </w:pBdr>
              <w:rPr>
                <w:color w:val="000000"/>
              </w:rPr>
            </w:pPr>
            <w:r>
              <w:rPr>
                <w:color w:val="000000"/>
              </w:rPr>
              <w:t xml:space="preserve">A variety of modes of assessment are used on the programme, shown in the table below, </w:t>
            </w:r>
            <w:r w:rsidR="00465CD1">
              <w:rPr>
                <w:color w:val="000000"/>
              </w:rPr>
              <w:t>howe</w:t>
            </w:r>
            <w:r w:rsidR="00465CD1">
              <w:t>ver,</w:t>
            </w:r>
            <w:r>
              <w:t xml:space="preserve"> </w:t>
            </w:r>
            <w:r>
              <w:rPr>
                <w:color w:val="000000"/>
              </w:rPr>
              <w:t>are not limited t</w:t>
            </w:r>
            <w:r>
              <w:t>o those presented below</w:t>
            </w:r>
            <w:r>
              <w:rPr>
                <w:color w:val="000000"/>
              </w:rPr>
              <w:t xml:space="preserve">. These are designed to be the most appropriate assessment methods for each of the units in question in terms of their learning outcomes. Assessments are designed to replicate the kind of activity students would be expected to undertake in the workplace wherever possible. The design of the assessments may alter slightly each year to </w:t>
            </w:r>
            <w:r>
              <w:t>include more variety and reduce the risk of internal plagiarism.</w:t>
            </w:r>
          </w:p>
          <w:p w14:paraId="745F709C" w14:textId="77777777" w:rsidR="00C71E62" w:rsidRDefault="00C71E62">
            <w:pPr>
              <w:pBdr>
                <w:top w:val="nil"/>
                <w:left w:val="nil"/>
                <w:bottom w:val="nil"/>
                <w:right w:val="nil"/>
                <w:between w:val="nil"/>
              </w:pBdr>
              <w:rPr>
                <w:color w:val="000000"/>
              </w:rPr>
            </w:pPr>
          </w:p>
          <w:p w14:paraId="0C6FFC7F" w14:textId="77777777" w:rsidR="00C71E62" w:rsidRDefault="00C71E62">
            <w:pPr>
              <w:pBdr>
                <w:top w:val="nil"/>
                <w:left w:val="nil"/>
                <w:bottom w:val="nil"/>
                <w:right w:val="nil"/>
                <w:between w:val="nil"/>
              </w:pBdr>
              <w:rPr>
                <w:color w:val="000000"/>
              </w:rPr>
            </w:pPr>
          </w:p>
          <w:tbl>
            <w:tblPr>
              <w:tblStyle w:val="af6"/>
              <w:tblW w:w="8094"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2968"/>
              <w:gridCol w:w="3008"/>
              <w:gridCol w:w="2118"/>
            </w:tblGrid>
            <w:tr w:rsidR="00C71E62" w14:paraId="6303B168" w14:textId="77777777">
              <w:trPr>
                <w:trHeight w:val="435"/>
                <w:jc w:val="center"/>
              </w:trPr>
              <w:tc>
                <w:tcPr>
                  <w:tcW w:w="296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F36564C" w14:textId="77777777" w:rsidR="00C71E62" w:rsidRDefault="00000000">
                  <w:pPr>
                    <w:jc w:val="center"/>
                    <w:rPr>
                      <w:rFonts w:ascii="Quattrocento Sans" w:eastAsia="Quattrocento Sans" w:hAnsi="Quattrocento Sans" w:cs="Quattrocento Sans"/>
                      <w:sz w:val="20"/>
                      <w:szCs w:val="20"/>
                    </w:rPr>
                  </w:pPr>
                  <w:r>
                    <w:rPr>
                      <w:b/>
                      <w:color w:val="222222"/>
                      <w:sz w:val="20"/>
                      <w:szCs w:val="20"/>
                    </w:rPr>
                    <w:t>Assessment Type / Level</w:t>
                  </w:r>
                </w:p>
              </w:tc>
              <w:tc>
                <w:tcPr>
                  <w:tcW w:w="3008" w:type="dxa"/>
                  <w:tcBorders>
                    <w:top w:val="single" w:sz="6" w:space="0" w:color="000000"/>
                    <w:left w:val="nil"/>
                    <w:bottom w:val="single" w:sz="6" w:space="0" w:color="000000"/>
                    <w:right w:val="single" w:sz="6" w:space="0" w:color="000000"/>
                  </w:tcBorders>
                  <w:shd w:val="clear" w:color="auto" w:fill="D9D9D9"/>
                  <w:vAlign w:val="center"/>
                </w:tcPr>
                <w:p w14:paraId="22998A5C" w14:textId="77777777" w:rsidR="00C71E62" w:rsidRDefault="00000000">
                  <w:pPr>
                    <w:jc w:val="center"/>
                    <w:rPr>
                      <w:rFonts w:ascii="Quattrocento Sans" w:eastAsia="Quattrocento Sans" w:hAnsi="Quattrocento Sans" w:cs="Quattrocento Sans"/>
                      <w:sz w:val="20"/>
                      <w:szCs w:val="20"/>
                    </w:rPr>
                  </w:pPr>
                  <w:r>
                    <w:rPr>
                      <w:b/>
                      <w:color w:val="222222"/>
                      <w:sz w:val="20"/>
                      <w:szCs w:val="20"/>
                    </w:rPr>
                    <w:t>Summative Assessment</w:t>
                  </w:r>
                </w:p>
              </w:tc>
              <w:tc>
                <w:tcPr>
                  <w:tcW w:w="2118" w:type="dxa"/>
                  <w:tcBorders>
                    <w:top w:val="single" w:sz="6" w:space="0" w:color="000000"/>
                    <w:left w:val="nil"/>
                    <w:bottom w:val="single" w:sz="6" w:space="0" w:color="000000"/>
                    <w:right w:val="single" w:sz="6" w:space="0" w:color="000000"/>
                  </w:tcBorders>
                  <w:shd w:val="clear" w:color="auto" w:fill="D9D9D9"/>
                  <w:vAlign w:val="center"/>
                </w:tcPr>
                <w:p w14:paraId="775DC2B6" w14:textId="77777777" w:rsidR="00C71E62" w:rsidRDefault="00000000">
                  <w:pPr>
                    <w:jc w:val="center"/>
                    <w:rPr>
                      <w:rFonts w:ascii="Quattrocento Sans" w:eastAsia="Quattrocento Sans" w:hAnsi="Quattrocento Sans" w:cs="Quattrocento Sans"/>
                      <w:sz w:val="20"/>
                      <w:szCs w:val="20"/>
                    </w:rPr>
                  </w:pPr>
                  <w:r>
                    <w:rPr>
                      <w:b/>
                      <w:color w:val="222222"/>
                      <w:sz w:val="20"/>
                      <w:szCs w:val="20"/>
                    </w:rPr>
                    <w:t>Formative Benefits</w:t>
                  </w:r>
                </w:p>
              </w:tc>
            </w:tr>
            <w:tr w:rsidR="00C71E62" w14:paraId="4CC73C23" w14:textId="77777777">
              <w:trPr>
                <w:trHeight w:val="915"/>
                <w:jc w:val="center"/>
              </w:trPr>
              <w:tc>
                <w:tcPr>
                  <w:tcW w:w="2968" w:type="dxa"/>
                  <w:tcBorders>
                    <w:top w:val="nil"/>
                    <w:left w:val="single" w:sz="6" w:space="0" w:color="000000"/>
                    <w:bottom w:val="single" w:sz="6" w:space="0" w:color="000000"/>
                    <w:right w:val="single" w:sz="6" w:space="0" w:color="000000"/>
                  </w:tcBorders>
                </w:tcPr>
                <w:p w14:paraId="1FB9D533" w14:textId="77777777" w:rsidR="00C71E62" w:rsidRDefault="00000000">
                  <w:pPr>
                    <w:rPr>
                      <w:rFonts w:ascii="Quattrocento Sans" w:eastAsia="Quattrocento Sans" w:hAnsi="Quattrocento Sans" w:cs="Quattrocento Sans"/>
                      <w:sz w:val="20"/>
                      <w:szCs w:val="20"/>
                    </w:rPr>
                  </w:pPr>
                  <w:r>
                    <w:rPr>
                      <w:color w:val="222222"/>
                      <w:sz w:val="20"/>
                      <w:szCs w:val="20"/>
                    </w:rPr>
                    <w:t>Unit 1 Nutrition </w:t>
                  </w:r>
                </w:p>
              </w:tc>
              <w:tc>
                <w:tcPr>
                  <w:tcW w:w="3008" w:type="dxa"/>
                  <w:tcBorders>
                    <w:top w:val="nil"/>
                    <w:left w:val="nil"/>
                    <w:bottom w:val="single" w:sz="6" w:space="0" w:color="000000"/>
                    <w:right w:val="single" w:sz="6" w:space="0" w:color="000000"/>
                  </w:tcBorders>
                </w:tcPr>
                <w:p w14:paraId="3734C704" w14:textId="77777777" w:rsidR="00C71E62" w:rsidRDefault="00000000">
                  <w:pPr>
                    <w:rPr>
                      <w:rFonts w:ascii="Quattrocento Sans" w:eastAsia="Quattrocento Sans" w:hAnsi="Quattrocento Sans" w:cs="Quattrocento Sans"/>
                      <w:sz w:val="20"/>
                      <w:szCs w:val="20"/>
                    </w:rPr>
                  </w:pPr>
                  <w:r>
                    <w:rPr>
                      <w:color w:val="222222"/>
                      <w:sz w:val="20"/>
                      <w:szCs w:val="20"/>
                    </w:rPr>
                    <w:t>Presentation </w:t>
                  </w:r>
                </w:p>
                <w:p w14:paraId="7EC3B4D9" w14:textId="77777777" w:rsidR="00C71E62" w:rsidRDefault="00000000">
                  <w:pPr>
                    <w:rPr>
                      <w:rFonts w:ascii="Quattrocento Sans" w:eastAsia="Quattrocento Sans" w:hAnsi="Quattrocento Sans" w:cs="Quattrocento Sans"/>
                      <w:sz w:val="20"/>
                      <w:szCs w:val="20"/>
                    </w:rPr>
                  </w:pPr>
                  <w:r>
                    <w:rPr>
                      <w:color w:val="222222"/>
                      <w:sz w:val="20"/>
                      <w:szCs w:val="20"/>
                    </w:rPr>
                    <w:t>Written report  </w:t>
                  </w:r>
                </w:p>
                <w:p w14:paraId="34FDE537" w14:textId="77777777" w:rsidR="00C71E62" w:rsidRDefault="00000000">
                  <w:pPr>
                    <w:rPr>
                      <w:rFonts w:ascii="Quattrocento Sans" w:eastAsia="Quattrocento Sans" w:hAnsi="Quattrocento Sans" w:cs="Quattrocento Sans"/>
                      <w:sz w:val="20"/>
                      <w:szCs w:val="20"/>
                    </w:rPr>
                  </w:pPr>
                  <w:r>
                    <w:rPr>
                      <w:color w:val="222222"/>
                      <w:sz w:val="20"/>
                      <w:szCs w:val="20"/>
                    </w:rPr>
                    <w:t>  </w:t>
                  </w:r>
                </w:p>
              </w:tc>
              <w:tc>
                <w:tcPr>
                  <w:tcW w:w="2118" w:type="dxa"/>
                  <w:tcBorders>
                    <w:top w:val="nil"/>
                    <w:left w:val="nil"/>
                    <w:bottom w:val="single" w:sz="6" w:space="0" w:color="000000"/>
                    <w:right w:val="single" w:sz="6" w:space="0" w:color="000000"/>
                  </w:tcBorders>
                </w:tcPr>
                <w:p w14:paraId="0B4F368A"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78EC1183" w14:textId="77777777" w:rsidR="00C71E62" w:rsidRDefault="00000000">
                  <w:pPr>
                    <w:rPr>
                      <w:rFonts w:ascii="Quattrocento Sans" w:eastAsia="Quattrocento Sans" w:hAnsi="Quattrocento Sans" w:cs="Quattrocento Sans"/>
                      <w:sz w:val="20"/>
                      <w:szCs w:val="20"/>
                    </w:rPr>
                  </w:pPr>
                  <w:r>
                    <w:rPr>
                      <w:color w:val="222222"/>
                      <w:sz w:val="20"/>
                      <w:szCs w:val="20"/>
                    </w:rPr>
                    <w:t>Presentation skills </w:t>
                  </w:r>
                </w:p>
                <w:p w14:paraId="1368D670" w14:textId="77777777" w:rsidR="00C71E62" w:rsidRDefault="00000000">
                  <w:pPr>
                    <w:rPr>
                      <w:rFonts w:ascii="Quattrocento Sans" w:eastAsia="Quattrocento Sans" w:hAnsi="Quattrocento Sans" w:cs="Quattrocento Sans"/>
                      <w:sz w:val="20"/>
                      <w:szCs w:val="20"/>
                    </w:rPr>
                  </w:pPr>
                  <w:r>
                    <w:rPr>
                      <w:color w:val="222222"/>
                      <w:sz w:val="20"/>
                      <w:szCs w:val="20"/>
                    </w:rPr>
                    <w:t>Verbal Communication skills </w:t>
                  </w:r>
                </w:p>
                <w:p w14:paraId="37F7464D"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p w14:paraId="2450D9FB"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tc>
            </w:tr>
            <w:tr w:rsidR="00C71E62" w14:paraId="7E9855DD" w14:textId="77777777">
              <w:trPr>
                <w:trHeight w:val="675"/>
                <w:jc w:val="center"/>
              </w:trPr>
              <w:tc>
                <w:tcPr>
                  <w:tcW w:w="2968" w:type="dxa"/>
                  <w:tcBorders>
                    <w:top w:val="nil"/>
                    <w:left w:val="single" w:sz="6" w:space="0" w:color="000000"/>
                    <w:bottom w:val="single" w:sz="6" w:space="0" w:color="000000"/>
                    <w:right w:val="single" w:sz="6" w:space="0" w:color="000000"/>
                  </w:tcBorders>
                </w:tcPr>
                <w:p w14:paraId="125AEF46" w14:textId="77777777" w:rsidR="00C71E62" w:rsidRDefault="00000000">
                  <w:pPr>
                    <w:rPr>
                      <w:rFonts w:ascii="Quattrocento Sans" w:eastAsia="Quattrocento Sans" w:hAnsi="Quattrocento Sans" w:cs="Quattrocento Sans"/>
                      <w:sz w:val="20"/>
                      <w:szCs w:val="20"/>
                    </w:rPr>
                  </w:pPr>
                  <w:r>
                    <w:rPr>
                      <w:color w:val="222222"/>
                      <w:sz w:val="20"/>
                      <w:szCs w:val="20"/>
                    </w:rPr>
                    <w:t>Unit 2: Fundamentals of Sport and Exercise Psychology </w:t>
                  </w:r>
                </w:p>
              </w:tc>
              <w:tc>
                <w:tcPr>
                  <w:tcW w:w="3008" w:type="dxa"/>
                  <w:tcBorders>
                    <w:top w:val="nil"/>
                    <w:left w:val="nil"/>
                    <w:bottom w:val="single" w:sz="6" w:space="0" w:color="000000"/>
                    <w:right w:val="single" w:sz="6" w:space="0" w:color="000000"/>
                  </w:tcBorders>
                </w:tcPr>
                <w:p w14:paraId="4599FAC4" w14:textId="77777777" w:rsidR="00C71E62" w:rsidRDefault="00000000">
                  <w:pPr>
                    <w:rPr>
                      <w:rFonts w:ascii="Quattrocento Sans" w:eastAsia="Quattrocento Sans" w:hAnsi="Quattrocento Sans" w:cs="Quattrocento Sans"/>
                      <w:sz w:val="20"/>
                      <w:szCs w:val="20"/>
                    </w:rPr>
                  </w:pPr>
                  <w:r>
                    <w:rPr>
                      <w:color w:val="222222"/>
                      <w:sz w:val="20"/>
                      <w:szCs w:val="20"/>
                    </w:rPr>
                    <w:t>Poster Presentation  </w:t>
                  </w:r>
                </w:p>
                <w:p w14:paraId="3F35FCBB" w14:textId="77777777" w:rsidR="00C71E62" w:rsidRDefault="00000000">
                  <w:pPr>
                    <w:rPr>
                      <w:rFonts w:ascii="Quattrocento Sans" w:eastAsia="Quattrocento Sans" w:hAnsi="Quattrocento Sans" w:cs="Quattrocento Sans"/>
                      <w:sz w:val="20"/>
                      <w:szCs w:val="20"/>
                    </w:rPr>
                  </w:pPr>
                  <w:r>
                    <w:rPr>
                      <w:color w:val="222222"/>
                      <w:sz w:val="20"/>
                      <w:szCs w:val="20"/>
                    </w:rPr>
                    <w:t>Written report  </w:t>
                  </w:r>
                </w:p>
                <w:p w14:paraId="152D6F5F" w14:textId="77777777" w:rsidR="00C71E62" w:rsidRDefault="00000000">
                  <w:pPr>
                    <w:rPr>
                      <w:rFonts w:ascii="Quattrocento Sans" w:eastAsia="Quattrocento Sans" w:hAnsi="Quattrocento Sans" w:cs="Quattrocento Sans"/>
                      <w:sz w:val="20"/>
                      <w:szCs w:val="20"/>
                    </w:rPr>
                  </w:pPr>
                  <w:r>
                    <w:rPr>
                      <w:color w:val="222222"/>
                      <w:sz w:val="20"/>
                      <w:szCs w:val="20"/>
                    </w:rPr>
                    <w:t>Presentation  </w:t>
                  </w:r>
                </w:p>
              </w:tc>
              <w:tc>
                <w:tcPr>
                  <w:tcW w:w="2118" w:type="dxa"/>
                  <w:tcBorders>
                    <w:top w:val="nil"/>
                    <w:left w:val="nil"/>
                    <w:bottom w:val="single" w:sz="6" w:space="0" w:color="000000"/>
                    <w:right w:val="single" w:sz="6" w:space="0" w:color="000000"/>
                  </w:tcBorders>
                </w:tcPr>
                <w:p w14:paraId="0B165666" w14:textId="77777777" w:rsidR="00C71E62" w:rsidRDefault="00000000">
                  <w:pPr>
                    <w:rPr>
                      <w:rFonts w:ascii="Quattrocento Sans" w:eastAsia="Quattrocento Sans" w:hAnsi="Quattrocento Sans" w:cs="Quattrocento Sans"/>
                      <w:sz w:val="20"/>
                      <w:szCs w:val="20"/>
                    </w:rPr>
                  </w:pPr>
                  <w:r>
                    <w:rPr>
                      <w:color w:val="222222"/>
                      <w:sz w:val="20"/>
                      <w:szCs w:val="20"/>
                    </w:rPr>
                    <w:t>Presentation skills </w:t>
                  </w:r>
                </w:p>
                <w:p w14:paraId="72FD3415" w14:textId="77777777" w:rsidR="00C71E62" w:rsidRDefault="00000000">
                  <w:pPr>
                    <w:rPr>
                      <w:rFonts w:ascii="Quattrocento Sans" w:eastAsia="Quattrocento Sans" w:hAnsi="Quattrocento Sans" w:cs="Quattrocento Sans"/>
                      <w:sz w:val="20"/>
                      <w:szCs w:val="20"/>
                    </w:rPr>
                  </w:pPr>
                  <w:r>
                    <w:rPr>
                      <w:color w:val="222222"/>
                      <w:sz w:val="20"/>
                      <w:szCs w:val="20"/>
                    </w:rPr>
                    <w:t>Verbal Communication skills </w:t>
                  </w:r>
                </w:p>
                <w:p w14:paraId="76C41032"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p w14:paraId="5AAE570F"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6D4EAEE4" w14:textId="77777777" w:rsidR="00C71E62" w:rsidRDefault="00000000">
                  <w:pPr>
                    <w:rPr>
                      <w:rFonts w:ascii="Quattrocento Sans" w:eastAsia="Quattrocento Sans" w:hAnsi="Quattrocento Sans" w:cs="Quattrocento Sans"/>
                      <w:sz w:val="20"/>
                      <w:szCs w:val="20"/>
                    </w:rPr>
                  </w:pPr>
                  <w:r>
                    <w:rPr>
                      <w:color w:val="222222"/>
                      <w:sz w:val="20"/>
                      <w:szCs w:val="20"/>
                    </w:rPr>
                    <w:t>Critical Thinking    </w:t>
                  </w:r>
                </w:p>
              </w:tc>
            </w:tr>
            <w:tr w:rsidR="00C71E62" w14:paraId="34A8E495" w14:textId="77777777">
              <w:trPr>
                <w:trHeight w:val="435"/>
                <w:jc w:val="center"/>
              </w:trPr>
              <w:tc>
                <w:tcPr>
                  <w:tcW w:w="2968" w:type="dxa"/>
                  <w:tcBorders>
                    <w:top w:val="nil"/>
                    <w:left w:val="single" w:sz="6" w:space="0" w:color="000000"/>
                    <w:bottom w:val="single" w:sz="6" w:space="0" w:color="000000"/>
                    <w:right w:val="single" w:sz="6" w:space="0" w:color="000000"/>
                  </w:tcBorders>
                </w:tcPr>
                <w:p w14:paraId="3522F500" w14:textId="77777777" w:rsidR="00C71E62" w:rsidRDefault="00000000">
                  <w:pPr>
                    <w:rPr>
                      <w:rFonts w:ascii="Quattrocento Sans" w:eastAsia="Quattrocento Sans" w:hAnsi="Quattrocento Sans" w:cs="Quattrocento Sans"/>
                      <w:sz w:val="20"/>
                      <w:szCs w:val="20"/>
                    </w:rPr>
                  </w:pPr>
                  <w:r>
                    <w:rPr>
                      <w:color w:val="222222"/>
                      <w:sz w:val="20"/>
                      <w:szCs w:val="20"/>
                    </w:rPr>
                    <w:lastRenderedPageBreak/>
                    <w:t>Unit 3: Anatomy and Physiology </w:t>
                  </w:r>
                </w:p>
              </w:tc>
              <w:tc>
                <w:tcPr>
                  <w:tcW w:w="3008" w:type="dxa"/>
                  <w:tcBorders>
                    <w:top w:val="nil"/>
                    <w:left w:val="nil"/>
                    <w:bottom w:val="single" w:sz="6" w:space="0" w:color="000000"/>
                    <w:right w:val="single" w:sz="6" w:space="0" w:color="000000"/>
                  </w:tcBorders>
                </w:tcPr>
                <w:p w14:paraId="191DC244" w14:textId="77777777" w:rsidR="00C71E62" w:rsidRDefault="00000000">
                  <w:pPr>
                    <w:rPr>
                      <w:rFonts w:ascii="Quattrocento Sans" w:eastAsia="Quattrocento Sans" w:hAnsi="Quattrocento Sans" w:cs="Quattrocento Sans"/>
                      <w:sz w:val="20"/>
                      <w:szCs w:val="20"/>
                    </w:rPr>
                  </w:pPr>
                  <w:r>
                    <w:rPr>
                      <w:color w:val="222222"/>
                      <w:sz w:val="20"/>
                      <w:szCs w:val="20"/>
                    </w:rPr>
                    <w:t>Written report (*2) supported with practical assessments</w:t>
                  </w:r>
                </w:p>
              </w:tc>
              <w:tc>
                <w:tcPr>
                  <w:tcW w:w="2118" w:type="dxa"/>
                  <w:tcBorders>
                    <w:top w:val="nil"/>
                    <w:left w:val="nil"/>
                    <w:bottom w:val="single" w:sz="6" w:space="0" w:color="000000"/>
                    <w:right w:val="single" w:sz="6" w:space="0" w:color="000000"/>
                  </w:tcBorders>
                </w:tcPr>
                <w:p w14:paraId="25B26633"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48076E8B"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p w14:paraId="6028B74A" w14:textId="77777777" w:rsidR="00C71E62" w:rsidRDefault="00000000">
                  <w:pPr>
                    <w:rPr>
                      <w:rFonts w:ascii="Quattrocento Sans" w:eastAsia="Quattrocento Sans" w:hAnsi="Quattrocento Sans" w:cs="Quattrocento Sans"/>
                      <w:sz w:val="20"/>
                      <w:szCs w:val="20"/>
                    </w:rPr>
                  </w:pPr>
                  <w:r>
                    <w:rPr>
                      <w:color w:val="222222"/>
                      <w:sz w:val="20"/>
                      <w:szCs w:val="20"/>
                    </w:rPr>
                    <w:t>Paraphrasing skills  </w:t>
                  </w:r>
                </w:p>
                <w:p w14:paraId="150C8833"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1CD1B8BD" w14:textId="77777777" w:rsidR="00C71E62" w:rsidRDefault="00000000">
                  <w:pPr>
                    <w:rPr>
                      <w:rFonts w:ascii="Quattrocento Sans" w:eastAsia="Quattrocento Sans" w:hAnsi="Quattrocento Sans" w:cs="Quattrocento Sans"/>
                      <w:sz w:val="20"/>
                      <w:szCs w:val="20"/>
                    </w:rPr>
                  </w:pPr>
                  <w:r>
                    <w:rPr>
                      <w:color w:val="222222"/>
                      <w:sz w:val="20"/>
                      <w:szCs w:val="20"/>
                    </w:rPr>
                    <w:t>Critical Thinking   </w:t>
                  </w:r>
                </w:p>
              </w:tc>
            </w:tr>
            <w:tr w:rsidR="00C71E62" w14:paraId="18200511" w14:textId="77777777">
              <w:trPr>
                <w:trHeight w:val="435"/>
                <w:jc w:val="center"/>
              </w:trPr>
              <w:tc>
                <w:tcPr>
                  <w:tcW w:w="2968" w:type="dxa"/>
                  <w:tcBorders>
                    <w:top w:val="nil"/>
                    <w:left w:val="single" w:sz="6" w:space="0" w:color="000000"/>
                    <w:bottom w:val="single" w:sz="6" w:space="0" w:color="000000"/>
                    <w:right w:val="single" w:sz="6" w:space="0" w:color="000000"/>
                  </w:tcBorders>
                </w:tcPr>
                <w:p w14:paraId="4E55EB44" w14:textId="77777777" w:rsidR="00C71E62" w:rsidRDefault="00000000">
                  <w:pPr>
                    <w:rPr>
                      <w:rFonts w:ascii="Quattrocento Sans" w:eastAsia="Quattrocento Sans" w:hAnsi="Quattrocento Sans" w:cs="Quattrocento Sans"/>
                      <w:sz w:val="20"/>
                      <w:szCs w:val="20"/>
                    </w:rPr>
                  </w:pPr>
                  <w:r>
                    <w:rPr>
                      <w:color w:val="222222"/>
                      <w:sz w:val="20"/>
                      <w:szCs w:val="20"/>
                    </w:rPr>
                    <w:t>Unit 4: Professional skills </w:t>
                  </w:r>
                </w:p>
              </w:tc>
              <w:tc>
                <w:tcPr>
                  <w:tcW w:w="3008" w:type="dxa"/>
                  <w:tcBorders>
                    <w:top w:val="nil"/>
                    <w:left w:val="nil"/>
                    <w:bottom w:val="single" w:sz="6" w:space="0" w:color="000000"/>
                    <w:right w:val="single" w:sz="6" w:space="0" w:color="000000"/>
                  </w:tcBorders>
                </w:tcPr>
                <w:p w14:paraId="512F5FF3" w14:textId="77777777" w:rsidR="00C71E62" w:rsidRDefault="00000000">
                  <w:pPr>
                    <w:rPr>
                      <w:rFonts w:ascii="Quattrocento Sans" w:eastAsia="Quattrocento Sans" w:hAnsi="Quattrocento Sans" w:cs="Quattrocento Sans"/>
                      <w:sz w:val="20"/>
                      <w:szCs w:val="20"/>
                    </w:rPr>
                  </w:pPr>
                  <w:r>
                    <w:rPr>
                      <w:color w:val="222222"/>
                      <w:sz w:val="20"/>
                      <w:szCs w:val="20"/>
                    </w:rPr>
                    <w:t>Written report and reflective log </w:t>
                  </w:r>
                </w:p>
                <w:p w14:paraId="2180DBB9" w14:textId="77777777" w:rsidR="00C71E62" w:rsidRDefault="00000000">
                  <w:pPr>
                    <w:rPr>
                      <w:rFonts w:ascii="Quattrocento Sans" w:eastAsia="Quattrocento Sans" w:hAnsi="Quattrocento Sans" w:cs="Quattrocento Sans"/>
                      <w:sz w:val="20"/>
                      <w:szCs w:val="20"/>
                    </w:rPr>
                  </w:pPr>
                  <w:r>
                    <w:rPr>
                      <w:color w:val="222222"/>
                      <w:sz w:val="20"/>
                      <w:szCs w:val="20"/>
                    </w:rPr>
                    <w:t>Written report   </w:t>
                  </w:r>
                </w:p>
              </w:tc>
              <w:tc>
                <w:tcPr>
                  <w:tcW w:w="2118" w:type="dxa"/>
                  <w:tcBorders>
                    <w:top w:val="nil"/>
                    <w:left w:val="nil"/>
                    <w:bottom w:val="single" w:sz="6" w:space="0" w:color="000000"/>
                    <w:right w:val="single" w:sz="6" w:space="0" w:color="000000"/>
                  </w:tcBorders>
                </w:tcPr>
                <w:p w14:paraId="677A1801"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51F7C95C"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29F4B6F3" w14:textId="0CFF3908" w:rsidR="00C71E62" w:rsidRDefault="00465CD1">
                  <w:pPr>
                    <w:rPr>
                      <w:rFonts w:ascii="Quattrocento Sans" w:eastAsia="Quattrocento Sans" w:hAnsi="Quattrocento Sans" w:cs="Quattrocento Sans"/>
                      <w:sz w:val="20"/>
                      <w:szCs w:val="20"/>
                    </w:rPr>
                  </w:pPr>
                  <w:r>
                    <w:rPr>
                      <w:color w:val="222222"/>
                      <w:sz w:val="20"/>
                      <w:szCs w:val="20"/>
                    </w:rPr>
                    <w:t>Self-Reflection</w:t>
                  </w:r>
                  <w:r w:rsidR="00000000">
                    <w:rPr>
                      <w:color w:val="222222"/>
                      <w:sz w:val="20"/>
                      <w:szCs w:val="20"/>
                    </w:rPr>
                    <w:t xml:space="preserve"> Skills     </w:t>
                  </w:r>
                </w:p>
                <w:p w14:paraId="2C1B4AAA"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p w14:paraId="2E0C330D" w14:textId="77777777" w:rsidR="00C71E62" w:rsidRDefault="00000000">
                  <w:pPr>
                    <w:rPr>
                      <w:rFonts w:ascii="Quattrocento Sans" w:eastAsia="Quattrocento Sans" w:hAnsi="Quattrocento Sans" w:cs="Quattrocento Sans"/>
                      <w:sz w:val="20"/>
                      <w:szCs w:val="20"/>
                    </w:rPr>
                  </w:pPr>
                  <w:r>
                    <w:rPr>
                      <w:color w:val="222222"/>
                      <w:sz w:val="20"/>
                      <w:szCs w:val="20"/>
                    </w:rPr>
                    <w:t>Time Management Skills  </w:t>
                  </w:r>
                </w:p>
                <w:p w14:paraId="250F44A7" w14:textId="77777777" w:rsidR="00C71E62" w:rsidRDefault="00000000">
                  <w:pPr>
                    <w:rPr>
                      <w:rFonts w:ascii="Quattrocento Sans" w:eastAsia="Quattrocento Sans" w:hAnsi="Quattrocento Sans" w:cs="Quattrocento Sans"/>
                      <w:sz w:val="20"/>
                      <w:szCs w:val="20"/>
                    </w:rPr>
                  </w:pPr>
                  <w:r>
                    <w:rPr>
                      <w:color w:val="222222"/>
                      <w:sz w:val="20"/>
                      <w:szCs w:val="20"/>
                    </w:rPr>
                    <w:t>Problem Solving Skills  </w:t>
                  </w:r>
                </w:p>
                <w:p w14:paraId="55C986B8" w14:textId="77777777" w:rsidR="00C71E62" w:rsidRDefault="00000000">
                  <w:pPr>
                    <w:rPr>
                      <w:rFonts w:ascii="Quattrocento Sans" w:eastAsia="Quattrocento Sans" w:hAnsi="Quattrocento Sans" w:cs="Quattrocento Sans"/>
                      <w:sz w:val="20"/>
                      <w:szCs w:val="20"/>
                    </w:rPr>
                  </w:pPr>
                  <w:r>
                    <w:rPr>
                      <w:color w:val="222222"/>
                      <w:sz w:val="20"/>
                      <w:szCs w:val="20"/>
                    </w:rPr>
                    <w:t>Data Analysis Skills </w:t>
                  </w:r>
                </w:p>
                <w:p w14:paraId="2F4228B2" w14:textId="77777777" w:rsidR="00C71E62" w:rsidRDefault="00000000">
                  <w:pPr>
                    <w:rPr>
                      <w:rFonts w:ascii="Quattrocento Sans" w:eastAsia="Quattrocento Sans" w:hAnsi="Quattrocento Sans" w:cs="Quattrocento Sans"/>
                      <w:sz w:val="20"/>
                      <w:szCs w:val="20"/>
                    </w:rPr>
                  </w:pPr>
                  <w:r>
                    <w:rPr>
                      <w:color w:val="222222"/>
                      <w:sz w:val="20"/>
                      <w:szCs w:val="20"/>
                    </w:rPr>
                    <w:t>Critical Thinking   </w:t>
                  </w:r>
                </w:p>
              </w:tc>
            </w:tr>
            <w:tr w:rsidR="00C71E62" w14:paraId="0460A40C" w14:textId="77777777">
              <w:trPr>
                <w:trHeight w:val="915"/>
                <w:jc w:val="center"/>
              </w:trPr>
              <w:tc>
                <w:tcPr>
                  <w:tcW w:w="2968" w:type="dxa"/>
                  <w:tcBorders>
                    <w:top w:val="nil"/>
                    <w:left w:val="single" w:sz="6" w:space="0" w:color="000000"/>
                    <w:bottom w:val="single" w:sz="6" w:space="0" w:color="000000"/>
                    <w:right w:val="single" w:sz="6" w:space="0" w:color="000000"/>
                  </w:tcBorders>
                </w:tcPr>
                <w:p w14:paraId="1F6F0CD5" w14:textId="77777777" w:rsidR="00C71E62" w:rsidRDefault="00000000">
                  <w:pPr>
                    <w:rPr>
                      <w:rFonts w:ascii="Quattrocento Sans" w:eastAsia="Quattrocento Sans" w:hAnsi="Quattrocento Sans" w:cs="Quattrocento Sans"/>
                      <w:sz w:val="20"/>
                      <w:szCs w:val="20"/>
                    </w:rPr>
                  </w:pPr>
                  <w:r>
                    <w:rPr>
                      <w:color w:val="222222"/>
                      <w:sz w:val="20"/>
                      <w:szCs w:val="20"/>
                    </w:rPr>
                    <w:t>Unit 5: Coaching practice and skill development </w:t>
                  </w:r>
                </w:p>
              </w:tc>
              <w:tc>
                <w:tcPr>
                  <w:tcW w:w="3008" w:type="dxa"/>
                  <w:tcBorders>
                    <w:top w:val="nil"/>
                    <w:left w:val="nil"/>
                    <w:bottom w:val="single" w:sz="6" w:space="0" w:color="000000"/>
                    <w:right w:val="single" w:sz="6" w:space="0" w:color="000000"/>
                  </w:tcBorders>
                </w:tcPr>
                <w:p w14:paraId="024C0EF1" w14:textId="77777777" w:rsidR="00C71E62" w:rsidRDefault="00000000">
                  <w:pPr>
                    <w:rPr>
                      <w:rFonts w:ascii="Quattrocento Sans" w:eastAsia="Quattrocento Sans" w:hAnsi="Quattrocento Sans" w:cs="Quattrocento Sans"/>
                      <w:sz w:val="20"/>
                      <w:szCs w:val="20"/>
                    </w:rPr>
                  </w:pPr>
                  <w:r>
                    <w:rPr>
                      <w:color w:val="222222"/>
                      <w:sz w:val="20"/>
                      <w:szCs w:val="20"/>
                    </w:rPr>
                    <w:t>Practical Demonstration </w:t>
                  </w:r>
                </w:p>
                <w:p w14:paraId="3AE5D292" w14:textId="77777777" w:rsidR="00C71E62" w:rsidRDefault="00000000">
                  <w:pPr>
                    <w:rPr>
                      <w:rFonts w:ascii="Quattrocento Sans" w:eastAsia="Quattrocento Sans" w:hAnsi="Quattrocento Sans" w:cs="Quattrocento Sans"/>
                      <w:sz w:val="20"/>
                      <w:szCs w:val="20"/>
                    </w:rPr>
                  </w:pPr>
                  <w:r>
                    <w:rPr>
                      <w:color w:val="222222"/>
                      <w:sz w:val="20"/>
                      <w:szCs w:val="20"/>
                    </w:rPr>
                    <w:t>Presentation </w:t>
                  </w:r>
                </w:p>
              </w:tc>
              <w:tc>
                <w:tcPr>
                  <w:tcW w:w="2118" w:type="dxa"/>
                  <w:tcBorders>
                    <w:top w:val="nil"/>
                    <w:left w:val="nil"/>
                    <w:bottom w:val="single" w:sz="6" w:space="0" w:color="000000"/>
                    <w:right w:val="single" w:sz="6" w:space="0" w:color="000000"/>
                  </w:tcBorders>
                </w:tcPr>
                <w:p w14:paraId="1DCC0C87" w14:textId="77777777" w:rsidR="00C71E62" w:rsidRDefault="00000000">
                  <w:pPr>
                    <w:rPr>
                      <w:rFonts w:ascii="Quattrocento Sans" w:eastAsia="Quattrocento Sans" w:hAnsi="Quattrocento Sans" w:cs="Quattrocento Sans"/>
                      <w:sz w:val="20"/>
                      <w:szCs w:val="20"/>
                    </w:rPr>
                  </w:pPr>
                  <w:r>
                    <w:rPr>
                      <w:color w:val="222222"/>
                      <w:sz w:val="20"/>
                      <w:szCs w:val="20"/>
                    </w:rPr>
                    <w:t>Verbal Communication skills </w:t>
                  </w:r>
                </w:p>
                <w:p w14:paraId="38094739" w14:textId="77777777" w:rsidR="00C71E62" w:rsidRDefault="00000000">
                  <w:pPr>
                    <w:rPr>
                      <w:rFonts w:ascii="Quattrocento Sans" w:eastAsia="Quattrocento Sans" w:hAnsi="Quattrocento Sans" w:cs="Quattrocento Sans"/>
                      <w:sz w:val="20"/>
                      <w:szCs w:val="20"/>
                    </w:rPr>
                  </w:pPr>
                  <w:r>
                    <w:rPr>
                      <w:color w:val="222222"/>
                      <w:sz w:val="20"/>
                      <w:szCs w:val="20"/>
                    </w:rPr>
                    <w:t>IT skills </w:t>
                  </w:r>
                </w:p>
                <w:p w14:paraId="56FE27AD" w14:textId="77777777" w:rsidR="00C71E62" w:rsidRDefault="00000000">
                  <w:pPr>
                    <w:rPr>
                      <w:rFonts w:ascii="Quattrocento Sans" w:eastAsia="Quattrocento Sans" w:hAnsi="Quattrocento Sans" w:cs="Quattrocento Sans"/>
                      <w:sz w:val="20"/>
                      <w:szCs w:val="20"/>
                    </w:rPr>
                  </w:pPr>
                  <w:r>
                    <w:rPr>
                      <w:color w:val="222222"/>
                      <w:sz w:val="20"/>
                      <w:szCs w:val="20"/>
                    </w:rPr>
                    <w:t>Multimedia skills </w:t>
                  </w:r>
                </w:p>
                <w:p w14:paraId="6F450D1C" w14:textId="29180104" w:rsidR="00C71E62" w:rsidRDefault="00465CD1">
                  <w:pPr>
                    <w:rPr>
                      <w:rFonts w:ascii="Quattrocento Sans" w:eastAsia="Quattrocento Sans" w:hAnsi="Quattrocento Sans" w:cs="Quattrocento Sans"/>
                      <w:sz w:val="20"/>
                      <w:szCs w:val="20"/>
                    </w:rPr>
                  </w:pPr>
                  <w:r>
                    <w:rPr>
                      <w:color w:val="222222"/>
                      <w:sz w:val="20"/>
                      <w:szCs w:val="20"/>
                    </w:rPr>
                    <w:t>Self-Reflection</w:t>
                  </w:r>
                  <w:r w:rsidR="00000000">
                    <w:rPr>
                      <w:color w:val="222222"/>
                      <w:sz w:val="20"/>
                      <w:szCs w:val="20"/>
                    </w:rPr>
                    <w:t>  </w:t>
                  </w:r>
                </w:p>
                <w:p w14:paraId="4714CF47" w14:textId="77777777" w:rsidR="00C71E62" w:rsidRDefault="00000000">
                  <w:pPr>
                    <w:rPr>
                      <w:rFonts w:ascii="Quattrocento Sans" w:eastAsia="Quattrocento Sans" w:hAnsi="Quattrocento Sans" w:cs="Quattrocento Sans"/>
                      <w:sz w:val="20"/>
                      <w:szCs w:val="20"/>
                    </w:rPr>
                  </w:pPr>
                  <w:r>
                    <w:rPr>
                      <w:color w:val="222222"/>
                      <w:sz w:val="20"/>
                      <w:szCs w:val="20"/>
                    </w:rPr>
                    <w:t>Interpersonal Skills  </w:t>
                  </w:r>
                </w:p>
              </w:tc>
            </w:tr>
            <w:tr w:rsidR="00C71E62" w14:paraId="5B0D6B47" w14:textId="77777777">
              <w:trPr>
                <w:trHeight w:val="435"/>
                <w:jc w:val="center"/>
              </w:trPr>
              <w:tc>
                <w:tcPr>
                  <w:tcW w:w="2968" w:type="dxa"/>
                  <w:tcBorders>
                    <w:top w:val="nil"/>
                    <w:left w:val="single" w:sz="6" w:space="0" w:color="000000"/>
                    <w:bottom w:val="single" w:sz="6" w:space="0" w:color="000000"/>
                    <w:right w:val="single" w:sz="6" w:space="0" w:color="000000"/>
                  </w:tcBorders>
                </w:tcPr>
                <w:p w14:paraId="0A821E41" w14:textId="77777777" w:rsidR="00C71E62" w:rsidRDefault="00000000">
                  <w:pPr>
                    <w:rPr>
                      <w:rFonts w:ascii="Quattrocento Sans" w:eastAsia="Quattrocento Sans" w:hAnsi="Quattrocento Sans" w:cs="Quattrocento Sans"/>
                      <w:sz w:val="20"/>
                      <w:szCs w:val="20"/>
                    </w:rPr>
                  </w:pPr>
                  <w:r>
                    <w:rPr>
                      <w:color w:val="222222"/>
                      <w:sz w:val="20"/>
                      <w:szCs w:val="20"/>
                    </w:rPr>
                    <w:t>Unit 6: Training, fitness, testing </w:t>
                  </w:r>
                </w:p>
              </w:tc>
              <w:tc>
                <w:tcPr>
                  <w:tcW w:w="3008" w:type="dxa"/>
                  <w:tcBorders>
                    <w:top w:val="nil"/>
                    <w:left w:val="nil"/>
                    <w:bottom w:val="single" w:sz="6" w:space="0" w:color="000000"/>
                    <w:right w:val="single" w:sz="6" w:space="0" w:color="000000"/>
                  </w:tcBorders>
                </w:tcPr>
                <w:p w14:paraId="3CCF5870" w14:textId="77777777" w:rsidR="00C71E62" w:rsidRDefault="00000000">
                  <w:pPr>
                    <w:rPr>
                      <w:rFonts w:ascii="Quattrocento Sans" w:eastAsia="Quattrocento Sans" w:hAnsi="Quattrocento Sans" w:cs="Quattrocento Sans"/>
                      <w:sz w:val="20"/>
                      <w:szCs w:val="20"/>
                    </w:rPr>
                  </w:pPr>
                  <w:r>
                    <w:rPr>
                      <w:color w:val="222222"/>
                      <w:sz w:val="20"/>
                      <w:szCs w:val="20"/>
                    </w:rPr>
                    <w:t>Booklet  </w:t>
                  </w:r>
                </w:p>
                <w:p w14:paraId="79809CB2" w14:textId="77777777" w:rsidR="00C71E62" w:rsidRDefault="00000000">
                  <w:pPr>
                    <w:rPr>
                      <w:rFonts w:ascii="Quattrocento Sans" w:eastAsia="Quattrocento Sans" w:hAnsi="Quattrocento Sans" w:cs="Quattrocento Sans"/>
                      <w:sz w:val="20"/>
                      <w:szCs w:val="20"/>
                    </w:rPr>
                  </w:pPr>
                  <w:r>
                    <w:rPr>
                      <w:color w:val="222222"/>
                      <w:sz w:val="20"/>
                      <w:szCs w:val="20"/>
                    </w:rPr>
                    <w:t>Case study  </w:t>
                  </w:r>
                </w:p>
              </w:tc>
              <w:tc>
                <w:tcPr>
                  <w:tcW w:w="2118" w:type="dxa"/>
                  <w:tcBorders>
                    <w:top w:val="nil"/>
                    <w:left w:val="nil"/>
                    <w:bottom w:val="single" w:sz="6" w:space="0" w:color="000000"/>
                    <w:right w:val="single" w:sz="6" w:space="0" w:color="000000"/>
                  </w:tcBorders>
                </w:tcPr>
                <w:p w14:paraId="56085AF7"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19968AC7"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3F56ADFD" w14:textId="77777777" w:rsidR="00C71E62" w:rsidRDefault="00000000">
                  <w:pPr>
                    <w:rPr>
                      <w:rFonts w:ascii="Quattrocento Sans" w:eastAsia="Quattrocento Sans" w:hAnsi="Quattrocento Sans" w:cs="Quattrocento Sans"/>
                      <w:sz w:val="20"/>
                      <w:szCs w:val="20"/>
                    </w:rPr>
                  </w:pPr>
                  <w:r>
                    <w:rPr>
                      <w:color w:val="222222"/>
                      <w:sz w:val="20"/>
                      <w:szCs w:val="20"/>
                    </w:rPr>
                    <w:t>Academic skills </w:t>
                  </w:r>
                </w:p>
                <w:p w14:paraId="7B5D9780" w14:textId="77777777" w:rsidR="00C71E62" w:rsidRDefault="00000000">
                  <w:pPr>
                    <w:rPr>
                      <w:rFonts w:ascii="Quattrocento Sans" w:eastAsia="Quattrocento Sans" w:hAnsi="Quattrocento Sans" w:cs="Quattrocento Sans"/>
                      <w:sz w:val="20"/>
                      <w:szCs w:val="20"/>
                    </w:rPr>
                  </w:pPr>
                  <w:r>
                    <w:rPr>
                      <w:color w:val="222222"/>
                      <w:sz w:val="20"/>
                      <w:szCs w:val="20"/>
                    </w:rPr>
                    <w:t>Interpersonal Skills  </w:t>
                  </w:r>
                </w:p>
                <w:p w14:paraId="508A0C79"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tc>
            </w:tr>
            <w:tr w:rsidR="00C71E62" w14:paraId="740968C8" w14:textId="77777777">
              <w:trPr>
                <w:trHeight w:val="675"/>
                <w:jc w:val="center"/>
              </w:trPr>
              <w:tc>
                <w:tcPr>
                  <w:tcW w:w="2968" w:type="dxa"/>
                  <w:tcBorders>
                    <w:top w:val="nil"/>
                    <w:left w:val="single" w:sz="6" w:space="0" w:color="000000"/>
                    <w:bottom w:val="single" w:sz="6" w:space="0" w:color="000000"/>
                    <w:right w:val="single" w:sz="6" w:space="0" w:color="000000"/>
                  </w:tcBorders>
                </w:tcPr>
                <w:p w14:paraId="2CD95D28" w14:textId="77777777" w:rsidR="00C71E62" w:rsidRDefault="00000000">
                  <w:pPr>
                    <w:rPr>
                      <w:rFonts w:ascii="Quattrocento Sans" w:eastAsia="Quattrocento Sans" w:hAnsi="Quattrocento Sans" w:cs="Quattrocento Sans"/>
                      <w:sz w:val="20"/>
                      <w:szCs w:val="20"/>
                    </w:rPr>
                  </w:pPr>
                  <w:r>
                    <w:rPr>
                      <w:color w:val="222222"/>
                      <w:sz w:val="20"/>
                      <w:szCs w:val="20"/>
                    </w:rPr>
                    <w:t>Unit 7: Lifestyle Coaching</w:t>
                  </w:r>
                </w:p>
              </w:tc>
              <w:tc>
                <w:tcPr>
                  <w:tcW w:w="3008" w:type="dxa"/>
                  <w:tcBorders>
                    <w:top w:val="nil"/>
                    <w:left w:val="nil"/>
                    <w:bottom w:val="single" w:sz="6" w:space="0" w:color="000000"/>
                    <w:right w:val="single" w:sz="6" w:space="0" w:color="000000"/>
                  </w:tcBorders>
                </w:tcPr>
                <w:p w14:paraId="29D7A39F" w14:textId="77777777" w:rsidR="00C71E62" w:rsidRDefault="00000000">
                  <w:pPr>
                    <w:rPr>
                      <w:color w:val="222222"/>
                      <w:sz w:val="20"/>
                      <w:szCs w:val="20"/>
                    </w:rPr>
                  </w:pPr>
                  <w:r>
                    <w:rPr>
                      <w:color w:val="222222"/>
                      <w:sz w:val="20"/>
                      <w:szCs w:val="20"/>
                    </w:rPr>
                    <w:t>Written report</w:t>
                  </w:r>
                </w:p>
                <w:p w14:paraId="50ACC74E" w14:textId="77777777" w:rsidR="00C71E62" w:rsidRDefault="00000000">
                  <w:pPr>
                    <w:rPr>
                      <w:color w:val="222222"/>
                      <w:sz w:val="20"/>
                      <w:szCs w:val="20"/>
                    </w:rPr>
                  </w:pPr>
                  <w:r>
                    <w:rPr>
                      <w:color w:val="222222"/>
                      <w:sz w:val="20"/>
                      <w:szCs w:val="20"/>
                    </w:rPr>
                    <w:t>Presentation</w:t>
                  </w:r>
                </w:p>
              </w:tc>
              <w:tc>
                <w:tcPr>
                  <w:tcW w:w="2118" w:type="dxa"/>
                  <w:tcBorders>
                    <w:top w:val="nil"/>
                    <w:left w:val="nil"/>
                    <w:bottom w:val="single" w:sz="6" w:space="0" w:color="000000"/>
                    <w:right w:val="single" w:sz="6" w:space="0" w:color="000000"/>
                  </w:tcBorders>
                </w:tcPr>
                <w:p w14:paraId="0F66CC30"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75B40089"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15858354" w14:textId="77777777" w:rsidR="00C71E62" w:rsidRDefault="00000000">
                  <w:pPr>
                    <w:rPr>
                      <w:rFonts w:ascii="Quattrocento Sans" w:eastAsia="Quattrocento Sans" w:hAnsi="Quattrocento Sans" w:cs="Quattrocento Sans"/>
                      <w:sz w:val="20"/>
                      <w:szCs w:val="20"/>
                    </w:rPr>
                  </w:pPr>
                  <w:r>
                    <w:rPr>
                      <w:color w:val="222222"/>
                      <w:sz w:val="20"/>
                      <w:szCs w:val="20"/>
                    </w:rPr>
                    <w:t>Academic skills </w:t>
                  </w:r>
                </w:p>
                <w:p w14:paraId="3E0BF539" w14:textId="77777777" w:rsidR="00C71E62" w:rsidRDefault="00000000">
                  <w:pPr>
                    <w:rPr>
                      <w:color w:val="222222"/>
                      <w:sz w:val="20"/>
                      <w:szCs w:val="20"/>
                    </w:rPr>
                  </w:pPr>
                  <w:r>
                    <w:rPr>
                      <w:color w:val="222222"/>
                      <w:sz w:val="20"/>
                      <w:szCs w:val="20"/>
                    </w:rPr>
                    <w:t>Written Communication skills  </w:t>
                  </w:r>
                </w:p>
                <w:p w14:paraId="6BCB5F06" w14:textId="77777777" w:rsidR="00C71E62" w:rsidRDefault="00000000">
                  <w:pPr>
                    <w:rPr>
                      <w:color w:val="222222"/>
                      <w:sz w:val="20"/>
                      <w:szCs w:val="20"/>
                    </w:rPr>
                  </w:pPr>
                  <w:r>
                    <w:rPr>
                      <w:color w:val="222222"/>
                      <w:sz w:val="20"/>
                      <w:szCs w:val="20"/>
                    </w:rPr>
                    <w:t>Verbal Communication skills </w:t>
                  </w:r>
                </w:p>
              </w:tc>
            </w:tr>
            <w:tr w:rsidR="00C71E62" w14:paraId="0D0CF382" w14:textId="77777777">
              <w:trPr>
                <w:trHeight w:val="915"/>
                <w:jc w:val="center"/>
              </w:trPr>
              <w:tc>
                <w:tcPr>
                  <w:tcW w:w="2968" w:type="dxa"/>
                  <w:tcBorders>
                    <w:top w:val="nil"/>
                    <w:left w:val="single" w:sz="6" w:space="0" w:color="000000"/>
                    <w:bottom w:val="single" w:sz="6" w:space="0" w:color="000000"/>
                    <w:right w:val="single" w:sz="6" w:space="0" w:color="000000"/>
                  </w:tcBorders>
                </w:tcPr>
                <w:p w14:paraId="2805A762" w14:textId="77777777" w:rsidR="00C71E62" w:rsidRDefault="00000000">
                  <w:pPr>
                    <w:rPr>
                      <w:rFonts w:ascii="Quattrocento Sans" w:eastAsia="Quattrocento Sans" w:hAnsi="Quattrocento Sans" w:cs="Quattrocento Sans"/>
                      <w:sz w:val="20"/>
                      <w:szCs w:val="20"/>
                    </w:rPr>
                  </w:pPr>
                  <w:r>
                    <w:rPr>
                      <w:color w:val="222222"/>
                      <w:sz w:val="20"/>
                      <w:szCs w:val="20"/>
                    </w:rPr>
                    <w:t xml:space="preserve">Unit </w:t>
                  </w:r>
                  <w:r>
                    <w:rPr>
                      <w:color w:val="222222"/>
                      <w:sz w:val="20"/>
                      <w:szCs w:val="20"/>
                      <w:highlight w:val="yellow"/>
                    </w:rPr>
                    <w:t>8</w:t>
                  </w:r>
                  <w:r>
                    <w:rPr>
                      <w:color w:val="222222"/>
                      <w:sz w:val="20"/>
                      <w:szCs w:val="20"/>
                    </w:rPr>
                    <w:t>: Community Coaching </w:t>
                  </w:r>
                </w:p>
              </w:tc>
              <w:tc>
                <w:tcPr>
                  <w:tcW w:w="3008" w:type="dxa"/>
                  <w:tcBorders>
                    <w:top w:val="nil"/>
                    <w:left w:val="nil"/>
                    <w:bottom w:val="single" w:sz="6" w:space="0" w:color="000000"/>
                    <w:right w:val="single" w:sz="6" w:space="0" w:color="000000"/>
                  </w:tcBorders>
                </w:tcPr>
                <w:p w14:paraId="7BF335A3" w14:textId="77777777" w:rsidR="00C71E62" w:rsidRDefault="00000000">
                  <w:pPr>
                    <w:rPr>
                      <w:rFonts w:ascii="Quattrocento Sans" w:eastAsia="Quattrocento Sans" w:hAnsi="Quattrocento Sans" w:cs="Quattrocento Sans"/>
                      <w:sz w:val="20"/>
                      <w:szCs w:val="20"/>
                    </w:rPr>
                  </w:pPr>
                  <w:r>
                    <w:rPr>
                      <w:color w:val="222222"/>
                      <w:sz w:val="20"/>
                      <w:szCs w:val="20"/>
                    </w:rPr>
                    <w:t>Report Writing </w:t>
                  </w:r>
                </w:p>
                <w:p w14:paraId="3C5DA2A7" w14:textId="77777777" w:rsidR="00C71E62" w:rsidRDefault="00000000">
                  <w:pPr>
                    <w:rPr>
                      <w:rFonts w:ascii="Quattrocento Sans" w:eastAsia="Quattrocento Sans" w:hAnsi="Quattrocento Sans" w:cs="Quattrocento Sans"/>
                      <w:sz w:val="20"/>
                      <w:szCs w:val="20"/>
                    </w:rPr>
                  </w:pPr>
                  <w:r>
                    <w:rPr>
                      <w:color w:val="222222"/>
                      <w:sz w:val="20"/>
                      <w:szCs w:val="20"/>
                    </w:rPr>
                    <w:t>Practical Demonstration </w:t>
                  </w:r>
                </w:p>
                <w:p w14:paraId="6F35C4FF" w14:textId="77777777" w:rsidR="00C71E62" w:rsidRDefault="00000000">
                  <w:pPr>
                    <w:rPr>
                      <w:rFonts w:ascii="Quattrocento Sans" w:eastAsia="Quattrocento Sans" w:hAnsi="Quattrocento Sans" w:cs="Quattrocento Sans"/>
                      <w:sz w:val="20"/>
                      <w:szCs w:val="20"/>
                    </w:rPr>
                  </w:pPr>
                  <w:r>
                    <w:rPr>
                      <w:color w:val="222222"/>
                      <w:sz w:val="20"/>
                      <w:szCs w:val="20"/>
                    </w:rPr>
                    <w:t>Presentation </w:t>
                  </w:r>
                </w:p>
              </w:tc>
              <w:tc>
                <w:tcPr>
                  <w:tcW w:w="2118" w:type="dxa"/>
                  <w:tcBorders>
                    <w:top w:val="nil"/>
                    <w:left w:val="nil"/>
                    <w:bottom w:val="single" w:sz="6" w:space="0" w:color="000000"/>
                    <w:right w:val="single" w:sz="6" w:space="0" w:color="000000"/>
                  </w:tcBorders>
                </w:tcPr>
                <w:p w14:paraId="7CD34CCA" w14:textId="77777777" w:rsidR="00C71E62" w:rsidRDefault="00000000">
                  <w:pPr>
                    <w:rPr>
                      <w:rFonts w:ascii="Quattrocento Sans" w:eastAsia="Quattrocento Sans" w:hAnsi="Quattrocento Sans" w:cs="Quattrocento Sans"/>
                      <w:sz w:val="20"/>
                      <w:szCs w:val="20"/>
                    </w:rPr>
                  </w:pPr>
                  <w:r>
                    <w:rPr>
                      <w:color w:val="222222"/>
                      <w:sz w:val="20"/>
                      <w:szCs w:val="20"/>
                    </w:rPr>
                    <w:t>Research skills </w:t>
                  </w:r>
                </w:p>
                <w:p w14:paraId="5135DFC9" w14:textId="77777777" w:rsidR="00C71E62" w:rsidRDefault="00000000">
                  <w:pPr>
                    <w:rPr>
                      <w:rFonts w:ascii="Quattrocento Sans" w:eastAsia="Quattrocento Sans" w:hAnsi="Quattrocento Sans" w:cs="Quattrocento Sans"/>
                      <w:sz w:val="20"/>
                      <w:szCs w:val="20"/>
                    </w:rPr>
                  </w:pPr>
                  <w:r>
                    <w:rPr>
                      <w:color w:val="222222"/>
                      <w:sz w:val="20"/>
                      <w:szCs w:val="20"/>
                    </w:rPr>
                    <w:t>Referencing Skills  </w:t>
                  </w:r>
                </w:p>
                <w:p w14:paraId="1AD70C58" w14:textId="77777777" w:rsidR="00C71E62" w:rsidRDefault="00000000">
                  <w:pPr>
                    <w:rPr>
                      <w:rFonts w:ascii="Quattrocento Sans" w:eastAsia="Quattrocento Sans" w:hAnsi="Quattrocento Sans" w:cs="Quattrocento Sans"/>
                      <w:sz w:val="20"/>
                      <w:szCs w:val="20"/>
                    </w:rPr>
                  </w:pPr>
                  <w:r>
                    <w:rPr>
                      <w:color w:val="222222"/>
                      <w:sz w:val="20"/>
                      <w:szCs w:val="20"/>
                    </w:rPr>
                    <w:t>Academic skills </w:t>
                  </w:r>
                </w:p>
                <w:p w14:paraId="47015C24" w14:textId="77777777" w:rsidR="00C71E62" w:rsidRDefault="00000000">
                  <w:pPr>
                    <w:rPr>
                      <w:rFonts w:ascii="Quattrocento Sans" w:eastAsia="Quattrocento Sans" w:hAnsi="Quattrocento Sans" w:cs="Quattrocento Sans"/>
                      <w:sz w:val="20"/>
                      <w:szCs w:val="20"/>
                    </w:rPr>
                  </w:pPr>
                  <w:r>
                    <w:rPr>
                      <w:color w:val="222222"/>
                      <w:sz w:val="20"/>
                      <w:szCs w:val="20"/>
                    </w:rPr>
                    <w:t>Written Communication skills </w:t>
                  </w:r>
                </w:p>
                <w:p w14:paraId="1A38B88F" w14:textId="77777777" w:rsidR="00C71E62" w:rsidRDefault="00000000">
                  <w:pPr>
                    <w:rPr>
                      <w:rFonts w:ascii="Quattrocento Sans" w:eastAsia="Quattrocento Sans" w:hAnsi="Quattrocento Sans" w:cs="Quattrocento Sans"/>
                      <w:sz w:val="20"/>
                      <w:szCs w:val="20"/>
                    </w:rPr>
                  </w:pPr>
                  <w:r>
                    <w:rPr>
                      <w:color w:val="222222"/>
                      <w:sz w:val="20"/>
                      <w:szCs w:val="20"/>
                    </w:rPr>
                    <w:t>Verbal Communication skills </w:t>
                  </w:r>
                </w:p>
              </w:tc>
            </w:tr>
          </w:tbl>
          <w:p w14:paraId="44E6867C" w14:textId="77777777" w:rsidR="00C71E62" w:rsidRDefault="00000000">
            <w:pPr>
              <w:pBdr>
                <w:top w:val="nil"/>
                <w:left w:val="nil"/>
                <w:bottom w:val="nil"/>
                <w:right w:val="nil"/>
                <w:between w:val="nil"/>
              </w:pBdr>
              <w:rPr>
                <w:color w:val="000000"/>
              </w:rPr>
            </w:pPr>
            <w:r>
              <w:rPr>
                <w:color w:val="000000"/>
              </w:rPr>
              <w:t>This multi-dimensional approach has the benefit that as in work, students have the opportunity to demonstrate their knowledge and skill via a range of different methods.   During the programme students’ written, oral and communication skills will be tested along with their capacity to work in a team and individually to set deadlines.</w:t>
            </w:r>
          </w:p>
          <w:p w14:paraId="5AC22F18" w14:textId="77777777" w:rsidR="00C71E62" w:rsidRDefault="00C71E62">
            <w:pPr>
              <w:pBdr>
                <w:top w:val="nil"/>
                <w:left w:val="nil"/>
                <w:bottom w:val="nil"/>
                <w:right w:val="nil"/>
                <w:between w:val="nil"/>
              </w:pBdr>
              <w:rPr>
                <w:color w:val="000000"/>
              </w:rPr>
            </w:pPr>
          </w:p>
        </w:tc>
      </w:tr>
      <w:tr w:rsidR="00C71E62" w14:paraId="5712454E" w14:textId="77777777">
        <w:tc>
          <w:tcPr>
            <w:tcW w:w="9010" w:type="dxa"/>
            <w:shd w:val="clear" w:color="auto" w:fill="000000"/>
          </w:tcPr>
          <w:p w14:paraId="10C4558A" w14:textId="77777777" w:rsidR="00C71E62" w:rsidRDefault="00000000">
            <w:pPr>
              <w:pBdr>
                <w:top w:val="nil"/>
                <w:left w:val="nil"/>
                <w:bottom w:val="nil"/>
                <w:right w:val="nil"/>
                <w:between w:val="nil"/>
              </w:pBdr>
              <w:rPr>
                <w:b/>
                <w:color w:val="FFFFFF"/>
              </w:rPr>
            </w:pPr>
            <w:r>
              <w:rPr>
                <w:b/>
                <w:color w:val="FFFFFF"/>
              </w:rPr>
              <w:lastRenderedPageBreak/>
              <w:t>Alternative assessment arrangements</w:t>
            </w:r>
          </w:p>
        </w:tc>
      </w:tr>
      <w:tr w:rsidR="00C71E62" w14:paraId="3F2A9D49" w14:textId="77777777">
        <w:tc>
          <w:tcPr>
            <w:tcW w:w="9010" w:type="dxa"/>
          </w:tcPr>
          <w:p w14:paraId="72F9A7AF" w14:textId="5C9D8F9F" w:rsidR="00C71E62" w:rsidRDefault="00000000">
            <w:pPr>
              <w:spacing w:before="60" w:after="60"/>
            </w:pPr>
            <w:r>
              <w:t xml:space="preserve">Should a student have an Individual Support Plan then normally every effort will be made to offer an alternative assessment in line with requirements, within reason.  This will be </w:t>
            </w:r>
            <w:r w:rsidR="00C032AC">
              <w:t>done</w:t>
            </w:r>
            <w:r>
              <w:t xml:space="preserve"> on a case-by-case basis and in discussion with the study support tutor and Programme Lead.</w:t>
            </w:r>
          </w:p>
          <w:p w14:paraId="6EA2E96B" w14:textId="77777777" w:rsidR="00C71E62" w:rsidRDefault="00000000">
            <w:pPr>
              <w:spacing w:before="60" w:after="60"/>
            </w:pPr>
            <w:r>
              <w:lastRenderedPageBreak/>
              <w:t>Should a student have extenuating circumstances which prevent them from undertaking a practical assessment i.e. due to medical reasons, then every effort will be made to offer an alternative assessment in line with requirements, within reason. In such cases, the student is still required to submit a request for an alternative assessment.</w:t>
            </w:r>
          </w:p>
          <w:p w14:paraId="7AE1B005" w14:textId="77777777" w:rsidR="00C71E62" w:rsidRDefault="00C71E62">
            <w:pPr>
              <w:spacing w:before="60" w:after="60"/>
              <w:rPr>
                <w:color w:val="FF0000"/>
              </w:rPr>
            </w:pPr>
          </w:p>
        </w:tc>
      </w:tr>
      <w:tr w:rsidR="00C71E62" w14:paraId="2E46E902" w14:textId="77777777">
        <w:tc>
          <w:tcPr>
            <w:tcW w:w="9010" w:type="dxa"/>
            <w:shd w:val="clear" w:color="auto" w:fill="000000"/>
          </w:tcPr>
          <w:p w14:paraId="60E0E1E5" w14:textId="77777777" w:rsidR="00C71E62" w:rsidRDefault="00000000">
            <w:pPr>
              <w:pBdr>
                <w:top w:val="nil"/>
                <w:left w:val="nil"/>
                <w:bottom w:val="nil"/>
                <w:right w:val="nil"/>
                <w:between w:val="nil"/>
              </w:pBdr>
              <w:rPr>
                <w:b/>
                <w:color w:val="FFFFFF"/>
              </w:rPr>
            </w:pPr>
            <w:r>
              <w:rPr>
                <w:b/>
                <w:color w:val="FFFFFF"/>
              </w:rPr>
              <w:lastRenderedPageBreak/>
              <w:t xml:space="preserve">Feedback  </w:t>
            </w:r>
          </w:p>
        </w:tc>
      </w:tr>
      <w:tr w:rsidR="00C71E62" w14:paraId="6C4E168A" w14:textId="77777777">
        <w:tc>
          <w:tcPr>
            <w:tcW w:w="9010" w:type="dxa"/>
          </w:tcPr>
          <w:p w14:paraId="7165AAE5" w14:textId="77777777" w:rsidR="00C71E62" w:rsidRDefault="00000000">
            <w:pPr>
              <w:pBdr>
                <w:top w:val="nil"/>
                <w:left w:val="nil"/>
                <w:bottom w:val="nil"/>
                <w:right w:val="nil"/>
                <w:between w:val="nil"/>
              </w:pBdr>
              <w:rPr>
                <w:color w:val="000000"/>
              </w:rPr>
            </w:pPr>
            <w:r>
              <w:rPr>
                <w:color w:val="000000"/>
              </w:rPr>
              <w:t>Students will have the opportunity to receive formative feedback, typically as part of the academic feedback sessions during the term. During the sessions feedback will be provided in writing and orally. Draft presentations and assignments are also scheduled for which feedback is provided in advance of the summative assessment. Students will receive feedback on summative assessment within 15 working days of their submission deadline.</w:t>
            </w:r>
          </w:p>
          <w:p w14:paraId="645A03BB" w14:textId="77777777" w:rsidR="00C71E62" w:rsidRDefault="00C71E62">
            <w:pPr>
              <w:pBdr>
                <w:top w:val="nil"/>
                <w:left w:val="nil"/>
                <w:bottom w:val="nil"/>
                <w:right w:val="nil"/>
                <w:between w:val="nil"/>
              </w:pBdr>
              <w:rPr>
                <w:color w:val="000000"/>
              </w:rPr>
            </w:pPr>
          </w:p>
        </w:tc>
      </w:tr>
      <w:tr w:rsidR="00C71E62" w14:paraId="0E94DE21" w14:textId="77777777">
        <w:tc>
          <w:tcPr>
            <w:tcW w:w="9010" w:type="dxa"/>
            <w:shd w:val="clear" w:color="auto" w:fill="000000"/>
          </w:tcPr>
          <w:p w14:paraId="0AC3A4C5" w14:textId="77777777" w:rsidR="00C71E62" w:rsidRDefault="00000000">
            <w:pPr>
              <w:pBdr>
                <w:top w:val="nil"/>
                <w:left w:val="nil"/>
                <w:bottom w:val="nil"/>
                <w:right w:val="nil"/>
                <w:between w:val="nil"/>
              </w:pBdr>
              <w:rPr>
                <w:b/>
                <w:color w:val="FFFFFF"/>
              </w:rPr>
            </w:pPr>
            <w:r>
              <w:rPr>
                <w:b/>
                <w:color w:val="FFFFFF"/>
              </w:rPr>
              <w:t>The Virtual Learning Environment and other Learning Resources</w:t>
            </w:r>
          </w:p>
        </w:tc>
      </w:tr>
      <w:tr w:rsidR="00C71E62" w14:paraId="4BF03BC8" w14:textId="77777777">
        <w:tc>
          <w:tcPr>
            <w:tcW w:w="9010" w:type="dxa"/>
          </w:tcPr>
          <w:p w14:paraId="001A5330" w14:textId="77777777" w:rsidR="00C71E62" w:rsidRDefault="00000000">
            <w:pPr>
              <w:pBdr>
                <w:top w:val="nil"/>
                <w:left w:val="nil"/>
                <w:bottom w:val="nil"/>
                <w:right w:val="nil"/>
                <w:between w:val="nil"/>
              </w:pBdr>
              <w:rPr>
                <w:color w:val="000000"/>
              </w:rPr>
            </w:pPr>
            <w:r>
              <w:rPr>
                <w:color w:val="000000"/>
              </w:rPr>
              <w:t xml:space="preserve">Students are supported by a wide range of learning resources made available via the Virtual Learning Environment (Activate Learning Online, ALO) enabling them to study wherever and whenever they want, on their laptop, tablet or smartphone. </w:t>
            </w:r>
          </w:p>
          <w:p w14:paraId="0CF5F896" w14:textId="77777777" w:rsidR="00C71E62" w:rsidRDefault="00C71E62">
            <w:pPr>
              <w:pBdr>
                <w:top w:val="nil"/>
                <w:left w:val="nil"/>
                <w:bottom w:val="nil"/>
                <w:right w:val="nil"/>
                <w:between w:val="nil"/>
              </w:pBdr>
              <w:rPr>
                <w:color w:val="000000"/>
              </w:rPr>
            </w:pPr>
          </w:p>
          <w:p w14:paraId="534E430C" w14:textId="77777777" w:rsidR="00C71E62" w:rsidRDefault="00000000">
            <w:pPr>
              <w:pBdr>
                <w:top w:val="nil"/>
                <w:left w:val="nil"/>
                <w:bottom w:val="nil"/>
                <w:right w:val="nil"/>
                <w:between w:val="nil"/>
              </w:pBdr>
              <w:rPr>
                <w:color w:val="000000"/>
              </w:rPr>
            </w:pPr>
            <w:r>
              <w:rPr>
                <w:color w:val="000000"/>
              </w:rPr>
              <w:t>Through ALO</w:t>
            </w:r>
            <w:r>
              <w:t xml:space="preserve"> </w:t>
            </w:r>
            <w:r>
              <w:rPr>
                <w:color w:val="000000"/>
              </w:rPr>
              <w:t xml:space="preserve">students can access a variety of high-quality study materials designed to support their learning. These include all essential reading including textbooks, articles and multimedia content such as videos. </w:t>
            </w:r>
          </w:p>
          <w:p w14:paraId="7C6F002F" w14:textId="77777777" w:rsidR="00C71E62" w:rsidRDefault="00C71E62">
            <w:pPr>
              <w:pBdr>
                <w:top w:val="nil"/>
                <w:left w:val="nil"/>
                <w:bottom w:val="nil"/>
                <w:right w:val="nil"/>
                <w:between w:val="nil"/>
              </w:pBdr>
              <w:rPr>
                <w:color w:val="000000"/>
              </w:rPr>
            </w:pPr>
          </w:p>
          <w:p w14:paraId="4966FE04" w14:textId="77777777" w:rsidR="00C71E62" w:rsidRDefault="00000000">
            <w:pPr>
              <w:pBdr>
                <w:top w:val="nil"/>
                <w:left w:val="nil"/>
                <w:bottom w:val="nil"/>
                <w:right w:val="nil"/>
                <w:between w:val="nil"/>
              </w:pBdr>
              <w:rPr>
                <w:color w:val="000000"/>
              </w:rPr>
            </w:pPr>
            <w:r>
              <w:rPr>
                <w:color w:val="000000"/>
              </w:rPr>
              <w:t xml:space="preserve">In addition to learning resources, ALO also provides students with a gateway to a wide range of other resources to help them with their studies including news and announcements, timetables, support and guidance. </w:t>
            </w:r>
          </w:p>
          <w:p w14:paraId="0F2BAB82" w14:textId="77777777" w:rsidR="00C71E62" w:rsidRDefault="00C71E62">
            <w:pPr>
              <w:pBdr>
                <w:top w:val="nil"/>
                <w:left w:val="nil"/>
                <w:bottom w:val="nil"/>
                <w:right w:val="nil"/>
                <w:between w:val="nil"/>
              </w:pBdr>
              <w:rPr>
                <w:color w:val="000000"/>
              </w:rPr>
            </w:pPr>
          </w:p>
          <w:p w14:paraId="195F5BB7" w14:textId="77777777" w:rsidR="00C71E62" w:rsidRDefault="00000000">
            <w:pPr>
              <w:pBdr>
                <w:top w:val="nil"/>
                <w:left w:val="nil"/>
                <w:bottom w:val="nil"/>
                <w:right w:val="nil"/>
                <w:between w:val="nil"/>
              </w:pBdr>
              <w:rPr>
                <w:color w:val="FF0000"/>
              </w:rPr>
            </w:pPr>
            <w:r>
              <w:t>Online l</w:t>
            </w:r>
            <w:r>
              <w:rPr>
                <w:color w:val="000000"/>
              </w:rPr>
              <w:t xml:space="preserve">ibrary resources include full access to an online library </w:t>
            </w:r>
            <w:r>
              <w:t>catalog</w:t>
            </w:r>
            <w:r>
              <w:rPr>
                <w:color w:val="000000"/>
              </w:rPr>
              <w:t xml:space="preserve"> that contains access to academic books and journals across a range of</w:t>
            </w:r>
            <w:r>
              <w:t xml:space="preserve"> sports-related subjects,</w:t>
            </w:r>
            <w:r>
              <w:rPr>
                <w:color w:val="000000"/>
              </w:rPr>
              <w:t xml:space="preserve"> disciplines and databases.</w:t>
            </w:r>
          </w:p>
          <w:p w14:paraId="7A4E4BE0" w14:textId="77777777" w:rsidR="00C71E62" w:rsidRDefault="00C71E62">
            <w:pPr>
              <w:pBdr>
                <w:top w:val="nil"/>
                <w:left w:val="nil"/>
                <w:bottom w:val="nil"/>
                <w:right w:val="nil"/>
                <w:between w:val="nil"/>
              </w:pBdr>
              <w:rPr>
                <w:color w:val="FF0000"/>
              </w:rPr>
            </w:pPr>
          </w:p>
          <w:p w14:paraId="28C1CCC2" w14:textId="77777777" w:rsidR="00C71E62" w:rsidRDefault="00000000">
            <w:pPr>
              <w:pBdr>
                <w:top w:val="nil"/>
                <w:left w:val="nil"/>
                <w:bottom w:val="nil"/>
                <w:right w:val="nil"/>
                <w:between w:val="nil"/>
              </w:pBdr>
            </w:pPr>
            <w:r>
              <w:t xml:space="preserve">The learning resources available include the use of the ALO, which includes access to live lectures and recordings, lecture slides and a variety of resources associated with each session. </w:t>
            </w:r>
          </w:p>
          <w:p w14:paraId="2DD8F609" w14:textId="77777777" w:rsidR="00C71E62" w:rsidRDefault="00C71E62">
            <w:pPr>
              <w:pBdr>
                <w:top w:val="nil"/>
                <w:left w:val="nil"/>
                <w:bottom w:val="nil"/>
                <w:right w:val="nil"/>
                <w:between w:val="nil"/>
              </w:pBdr>
            </w:pPr>
          </w:p>
          <w:p w14:paraId="77637CA6" w14:textId="53E0235F" w:rsidR="00C71E62" w:rsidRDefault="00000000">
            <w:pPr>
              <w:pBdr>
                <w:top w:val="nil"/>
                <w:left w:val="nil"/>
                <w:bottom w:val="nil"/>
                <w:right w:val="nil"/>
                <w:between w:val="nil"/>
              </w:pBdr>
            </w:pPr>
            <w:r>
              <w:t xml:space="preserve">In </w:t>
            </w:r>
            <w:r w:rsidR="00C032AC">
              <w:t>addition,</w:t>
            </w:r>
            <w:r>
              <w:t xml:space="preserve"> you will have access to Elevate Your Attributes, an ALO module, Study Skills Support and the Careers Hub.</w:t>
            </w:r>
          </w:p>
          <w:p w14:paraId="3EB1F426" w14:textId="77777777" w:rsidR="00C71E62" w:rsidRDefault="00C71E62">
            <w:pPr>
              <w:pBdr>
                <w:top w:val="nil"/>
                <w:left w:val="nil"/>
                <w:bottom w:val="nil"/>
                <w:right w:val="nil"/>
                <w:between w:val="nil"/>
              </w:pBdr>
              <w:rPr>
                <w:color w:val="FF0000"/>
              </w:rPr>
            </w:pPr>
          </w:p>
        </w:tc>
      </w:tr>
      <w:tr w:rsidR="00C71E62" w14:paraId="5640C8B6" w14:textId="77777777">
        <w:tc>
          <w:tcPr>
            <w:tcW w:w="9010" w:type="dxa"/>
            <w:shd w:val="clear" w:color="auto" w:fill="000000"/>
          </w:tcPr>
          <w:p w14:paraId="5A3249A9" w14:textId="77777777" w:rsidR="00C71E62" w:rsidRDefault="00000000">
            <w:pPr>
              <w:pBdr>
                <w:top w:val="nil"/>
                <w:left w:val="nil"/>
                <w:bottom w:val="nil"/>
                <w:right w:val="nil"/>
                <w:between w:val="nil"/>
              </w:pBdr>
              <w:rPr>
                <w:b/>
                <w:color w:val="FFFFFF"/>
              </w:rPr>
            </w:pPr>
            <w:r>
              <w:rPr>
                <w:b/>
                <w:color w:val="FFFFFF"/>
              </w:rPr>
              <w:t>Study Support</w:t>
            </w:r>
          </w:p>
        </w:tc>
      </w:tr>
      <w:tr w:rsidR="00C71E62" w14:paraId="0295E2E7" w14:textId="77777777">
        <w:tc>
          <w:tcPr>
            <w:tcW w:w="9010" w:type="dxa"/>
          </w:tcPr>
          <w:p w14:paraId="0E60D2AD" w14:textId="77777777" w:rsidR="00C71E62" w:rsidRDefault="00C71E62">
            <w:pPr>
              <w:pBdr>
                <w:top w:val="nil"/>
                <w:left w:val="nil"/>
                <w:bottom w:val="nil"/>
                <w:right w:val="nil"/>
                <w:between w:val="nil"/>
              </w:pBdr>
              <w:rPr>
                <w:color w:val="FF0000"/>
              </w:rPr>
            </w:pPr>
          </w:p>
          <w:p w14:paraId="337EE12F" w14:textId="77777777" w:rsidR="00C71E62" w:rsidRDefault="00000000">
            <w:r>
              <w:t xml:space="preserve">Student progression on the programme is supported by the Programme Coordinator, Unit Leaders and central student services, and includes: </w:t>
            </w:r>
          </w:p>
          <w:p w14:paraId="2591939B" w14:textId="77777777" w:rsidR="00C71E62" w:rsidRDefault="00000000">
            <w:r>
              <w:t xml:space="preserve"> </w:t>
            </w:r>
          </w:p>
          <w:p w14:paraId="5CD85861" w14:textId="77777777" w:rsidR="00C71E62" w:rsidRDefault="00000000">
            <w:pPr>
              <w:numPr>
                <w:ilvl w:val="0"/>
                <w:numId w:val="8"/>
              </w:numPr>
            </w:pPr>
            <w:r>
              <w:t xml:space="preserve">An induction programme introducing new students to the subject of study, higher level skills that need to be developed, and the college facilities including the online library, IT, staff and other students. </w:t>
            </w:r>
          </w:p>
          <w:p w14:paraId="72C36E7B" w14:textId="77777777" w:rsidR="00C71E62" w:rsidRDefault="00000000">
            <w:pPr>
              <w:numPr>
                <w:ilvl w:val="0"/>
                <w:numId w:val="8"/>
              </w:numPr>
            </w:pPr>
            <w:r>
              <w:t xml:space="preserve">Scheduled 1:1 and group tutorials which provide opportunities for formative feedback </w:t>
            </w:r>
          </w:p>
          <w:p w14:paraId="4E725E71" w14:textId="23ED500A" w:rsidR="00C71E62" w:rsidRDefault="00000000">
            <w:pPr>
              <w:numPr>
                <w:ilvl w:val="0"/>
                <w:numId w:val="8"/>
              </w:numPr>
            </w:pPr>
            <w:r>
              <w:t xml:space="preserve">General student and course handbooks </w:t>
            </w:r>
            <w:r w:rsidR="00955A13">
              <w:t>are available</w:t>
            </w:r>
            <w:r>
              <w:t xml:space="preserve"> in print and electronic format on ALO. </w:t>
            </w:r>
          </w:p>
          <w:p w14:paraId="149DF556" w14:textId="77777777" w:rsidR="00C71E62" w:rsidRDefault="00000000">
            <w:pPr>
              <w:numPr>
                <w:ilvl w:val="0"/>
                <w:numId w:val="8"/>
              </w:numPr>
            </w:pPr>
            <w:r>
              <w:t xml:space="preserve">Personal and academic support is integrated in teaching provided by supportive and accessible tutors and identified 1:1 support sessions are also available with HE Study Support Tutors. </w:t>
            </w:r>
          </w:p>
          <w:p w14:paraId="0AD9A762" w14:textId="77777777" w:rsidR="00C71E62" w:rsidRDefault="00000000">
            <w:pPr>
              <w:numPr>
                <w:ilvl w:val="0"/>
                <w:numId w:val="8"/>
              </w:numPr>
            </w:pPr>
            <w:r>
              <w:t xml:space="preserve">An online library along with access to campus libraries </w:t>
            </w:r>
          </w:p>
          <w:p w14:paraId="5AF7047C" w14:textId="77777777" w:rsidR="00C71E62" w:rsidRDefault="00000000">
            <w:pPr>
              <w:numPr>
                <w:ilvl w:val="0"/>
                <w:numId w:val="8"/>
              </w:numPr>
            </w:pPr>
            <w:r>
              <w:t xml:space="preserve">Personal development planning sessions integrated into programme </w:t>
            </w:r>
          </w:p>
          <w:p w14:paraId="5173F77E" w14:textId="77777777" w:rsidR="00C71E62" w:rsidRDefault="00000000">
            <w:pPr>
              <w:numPr>
                <w:ilvl w:val="0"/>
                <w:numId w:val="8"/>
              </w:numPr>
            </w:pPr>
            <w:r>
              <w:t>Access to Counsellors and mental health support</w:t>
            </w:r>
          </w:p>
          <w:p w14:paraId="68EA6C92" w14:textId="77777777" w:rsidR="00C71E62" w:rsidRDefault="00000000">
            <w:pPr>
              <w:numPr>
                <w:ilvl w:val="0"/>
                <w:numId w:val="8"/>
              </w:numPr>
            </w:pPr>
            <w:r>
              <w:t xml:space="preserve">Access to online study support team </w:t>
            </w:r>
          </w:p>
          <w:p w14:paraId="0454080A" w14:textId="77777777" w:rsidR="00C71E62" w:rsidRDefault="00000000">
            <w:pPr>
              <w:numPr>
                <w:ilvl w:val="0"/>
                <w:numId w:val="8"/>
              </w:numPr>
            </w:pPr>
            <w:r>
              <w:lastRenderedPageBreak/>
              <w:t xml:space="preserve">Written assessment feedback (within 15 working days of assessment submission). </w:t>
            </w:r>
          </w:p>
          <w:p w14:paraId="26C529CC" w14:textId="77777777" w:rsidR="00C71E62" w:rsidRDefault="00000000">
            <w:pPr>
              <w:numPr>
                <w:ilvl w:val="0"/>
                <w:numId w:val="8"/>
              </w:numPr>
            </w:pPr>
            <w:r>
              <w:t>Access to regularly updated course section on the ALO</w:t>
            </w:r>
          </w:p>
          <w:p w14:paraId="74E1397E" w14:textId="77777777" w:rsidR="00C71E62" w:rsidRDefault="00C71E62">
            <w:pPr>
              <w:pBdr>
                <w:top w:val="nil"/>
                <w:left w:val="nil"/>
                <w:bottom w:val="nil"/>
                <w:right w:val="nil"/>
                <w:between w:val="nil"/>
              </w:pBdr>
              <w:rPr>
                <w:color w:val="FF0000"/>
              </w:rPr>
            </w:pPr>
          </w:p>
          <w:p w14:paraId="7F67946D" w14:textId="77777777" w:rsidR="00C71E62" w:rsidRDefault="00C71E62">
            <w:pPr>
              <w:pBdr>
                <w:top w:val="nil"/>
                <w:left w:val="nil"/>
                <w:bottom w:val="nil"/>
                <w:right w:val="nil"/>
                <w:between w:val="nil"/>
              </w:pBdr>
              <w:rPr>
                <w:color w:val="FF0000"/>
              </w:rPr>
            </w:pPr>
          </w:p>
          <w:p w14:paraId="43B60AF7" w14:textId="77777777" w:rsidR="00C71E62" w:rsidRDefault="00000000">
            <w:pPr>
              <w:spacing w:line="276" w:lineRule="auto"/>
            </w:pPr>
            <w:r>
              <w:t>Additional support from UCS Support Services include the following:</w:t>
            </w:r>
          </w:p>
          <w:p w14:paraId="39CF78D4" w14:textId="4D649B0E" w:rsidR="00C71E62" w:rsidRDefault="00000000">
            <w:pPr>
              <w:numPr>
                <w:ilvl w:val="0"/>
                <w:numId w:val="14"/>
              </w:numPr>
              <w:spacing w:line="276" w:lineRule="auto"/>
            </w:pPr>
            <w:r>
              <w:t xml:space="preserve">Emotional and Mental Health - If you are experiencing emotional or mental health difficulties we have an online counsellor to offer </w:t>
            </w:r>
            <w:r w:rsidR="0023297E">
              <w:t>one-to-one</w:t>
            </w:r>
            <w:r>
              <w:t xml:space="preserve"> appointments.</w:t>
            </w:r>
          </w:p>
          <w:p w14:paraId="675B2159" w14:textId="7E158C14" w:rsidR="00C71E62" w:rsidRDefault="00000000">
            <w:pPr>
              <w:numPr>
                <w:ilvl w:val="0"/>
                <w:numId w:val="14"/>
              </w:numPr>
              <w:spacing w:line="276" w:lineRule="auto"/>
            </w:pPr>
            <w:r>
              <w:t xml:space="preserve">Career Development and Employability - These skills are embedded into your curriculum, providing initiatives to enhance your employability and social entrepreneurship skills. As an organisation we are an Education Partner of the  Chartered Institute for the Management of Sport and Physical Activity (CIMSPA) which allows for effective signposting </w:t>
            </w:r>
            <w:r w:rsidR="000D6836">
              <w:t>of</w:t>
            </w:r>
            <w:r>
              <w:t xml:space="preserve"> the skills to be developed for the sport and leisure industry. </w:t>
            </w:r>
          </w:p>
          <w:p w14:paraId="2E1B4659" w14:textId="77777777" w:rsidR="00C71E62" w:rsidRDefault="00000000">
            <w:pPr>
              <w:numPr>
                <w:ilvl w:val="0"/>
                <w:numId w:val="14"/>
              </w:numPr>
              <w:spacing w:line="276" w:lineRule="auto"/>
            </w:pPr>
            <w:r>
              <w:t>Financial Support - We can provide support with student finance applications for student loans and tuition fees. In addition, for those students with additional learning needs we can support applications for Disability Student Allowance (DSA).</w:t>
            </w:r>
          </w:p>
          <w:p w14:paraId="67669733" w14:textId="77777777" w:rsidR="00C71E62" w:rsidRDefault="00000000">
            <w:pPr>
              <w:numPr>
                <w:ilvl w:val="0"/>
                <w:numId w:val="14"/>
              </w:numPr>
              <w:spacing w:line="276" w:lineRule="auto"/>
            </w:pPr>
            <w:r>
              <w:t>Additional Learning Support (ALS) - We can provide support for students who have learning difficulties, disabilities or medical conditions. We are committed to ensuring all possible reasonable adjustments are made in order to accommodate our students with learning difficulties and disabilities.</w:t>
            </w:r>
          </w:p>
          <w:p w14:paraId="65C37BAE" w14:textId="77777777" w:rsidR="00C71E62" w:rsidRDefault="00000000">
            <w:pPr>
              <w:spacing w:line="276" w:lineRule="auto"/>
              <w:ind w:left="720"/>
            </w:pPr>
            <w:r>
              <w:t>Additional Learning Support might consist of:</w:t>
            </w:r>
          </w:p>
          <w:p w14:paraId="176CC198" w14:textId="77777777" w:rsidR="00C71E62" w:rsidRDefault="00000000">
            <w:pPr>
              <w:numPr>
                <w:ilvl w:val="0"/>
                <w:numId w:val="13"/>
              </w:numPr>
              <w:spacing w:line="276" w:lineRule="auto"/>
            </w:pPr>
            <w:r>
              <w:t>In class support for high-needs students provided by tutors.</w:t>
            </w:r>
          </w:p>
          <w:p w14:paraId="424B8F9A" w14:textId="77777777" w:rsidR="00C71E62" w:rsidRDefault="00000000">
            <w:pPr>
              <w:numPr>
                <w:ilvl w:val="0"/>
                <w:numId w:val="13"/>
              </w:numPr>
              <w:spacing w:line="276" w:lineRule="auto"/>
            </w:pPr>
            <w:r>
              <w:t xml:space="preserve">1:1 additional lessons with tutors or learning support assistants. </w:t>
            </w:r>
          </w:p>
          <w:p w14:paraId="67D0E74D" w14:textId="77777777" w:rsidR="00C71E62" w:rsidRDefault="00000000">
            <w:pPr>
              <w:numPr>
                <w:ilvl w:val="0"/>
                <w:numId w:val="13"/>
              </w:numPr>
              <w:spacing w:line="276" w:lineRule="auto"/>
            </w:pPr>
            <w:r>
              <w:t>Support with applying for Disability Student Allowance (DSA).</w:t>
            </w:r>
          </w:p>
          <w:p w14:paraId="54466570" w14:textId="77777777" w:rsidR="00C71E62" w:rsidRDefault="00000000">
            <w:pPr>
              <w:numPr>
                <w:ilvl w:val="0"/>
                <w:numId w:val="13"/>
              </w:numPr>
              <w:spacing w:line="276" w:lineRule="auto"/>
            </w:pPr>
            <w:r>
              <w:t>The use of assistive software and technology where appropriate.</w:t>
            </w:r>
          </w:p>
          <w:p w14:paraId="2BAE6C2E" w14:textId="77777777" w:rsidR="00C71E62" w:rsidRDefault="00000000">
            <w:pPr>
              <w:numPr>
                <w:ilvl w:val="0"/>
                <w:numId w:val="13"/>
              </w:numPr>
              <w:spacing w:line="276" w:lineRule="auto"/>
            </w:pPr>
            <w:r>
              <w:t>The provision of a support plan which would outline the support required and what reasonable adjustments are required.</w:t>
            </w:r>
          </w:p>
          <w:p w14:paraId="5D78E92A" w14:textId="77777777" w:rsidR="00C71E62" w:rsidRDefault="00C71E62">
            <w:pPr>
              <w:pBdr>
                <w:top w:val="nil"/>
                <w:left w:val="nil"/>
                <w:bottom w:val="nil"/>
                <w:right w:val="nil"/>
                <w:between w:val="nil"/>
              </w:pBdr>
              <w:rPr>
                <w:color w:val="FF0000"/>
              </w:rPr>
            </w:pPr>
          </w:p>
        </w:tc>
      </w:tr>
    </w:tbl>
    <w:p w14:paraId="4B2E67F2" w14:textId="77777777" w:rsidR="00C71E62" w:rsidRDefault="00C71E62">
      <w:pPr>
        <w:pBdr>
          <w:top w:val="nil"/>
          <w:left w:val="nil"/>
          <w:bottom w:val="nil"/>
          <w:right w:val="nil"/>
          <w:between w:val="nil"/>
        </w:pBdr>
        <w:rPr>
          <w:color w:val="000000"/>
          <w:sz w:val="22"/>
          <w:szCs w:val="22"/>
        </w:rPr>
      </w:pPr>
    </w:p>
    <w:tbl>
      <w:tblPr>
        <w:tblStyle w:val="af7"/>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6B448034" w14:textId="77777777">
        <w:trPr>
          <w:tblHeader/>
        </w:trPr>
        <w:tc>
          <w:tcPr>
            <w:tcW w:w="9010" w:type="dxa"/>
            <w:shd w:val="clear" w:color="auto" w:fill="000000"/>
          </w:tcPr>
          <w:p w14:paraId="4E569950" w14:textId="77777777" w:rsidR="00C71E62" w:rsidRDefault="00000000">
            <w:pPr>
              <w:pBdr>
                <w:top w:val="nil"/>
                <w:left w:val="nil"/>
                <w:bottom w:val="nil"/>
                <w:right w:val="nil"/>
                <w:between w:val="nil"/>
              </w:pBdr>
              <w:rPr>
                <w:b/>
                <w:color w:val="FFFFFF"/>
              </w:rPr>
            </w:pPr>
            <w:r>
              <w:rPr>
                <w:b/>
                <w:color w:val="FFFFFF"/>
              </w:rPr>
              <w:t>Programme Structure and Requirements, Levels, Units and Credits</w:t>
            </w:r>
          </w:p>
        </w:tc>
      </w:tr>
      <w:tr w:rsidR="00C71E62" w14:paraId="581F6AB2" w14:textId="77777777">
        <w:tc>
          <w:tcPr>
            <w:tcW w:w="9010" w:type="dxa"/>
          </w:tcPr>
          <w:p w14:paraId="3DF74B8B" w14:textId="77777777" w:rsidR="00C71E62" w:rsidRDefault="00000000">
            <w:pPr>
              <w:pBdr>
                <w:top w:val="nil"/>
                <w:left w:val="nil"/>
                <w:bottom w:val="nil"/>
                <w:right w:val="nil"/>
                <w:between w:val="nil"/>
              </w:pBdr>
              <w:rPr>
                <w:b/>
                <w:color w:val="000000"/>
              </w:rPr>
            </w:pPr>
            <w:r>
              <w:rPr>
                <w:b/>
                <w:color w:val="000000"/>
              </w:rPr>
              <w:t>Introduction to the programme</w:t>
            </w:r>
          </w:p>
          <w:p w14:paraId="5319E8B0" w14:textId="77777777" w:rsidR="00C71E62" w:rsidRDefault="00C71E62">
            <w:pPr>
              <w:pBdr>
                <w:top w:val="nil"/>
                <w:left w:val="nil"/>
                <w:bottom w:val="nil"/>
                <w:right w:val="nil"/>
                <w:between w:val="nil"/>
              </w:pBdr>
              <w:rPr>
                <w:color w:val="000000"/>
              </w:rPr>
            </w:pPr>
          </w:p>
          <w:p w14:paraId="240095EF" w14:textId="77777777" w:rsidR="00C71E62" w:rsidRDefault="00000000">
            <w:pPr>
              <w:pBdr>
                <w:top w:val="nil"/>
                <w:left w:val="nil"/>
                <w:bottom w:val="nil"/>
                <w:right w:val="nil"/>
                <w:between w:val="nil"/>
              </w:pBdr>
              <w:rPr>
                <w:color w:val="000000"/>
              </w:rPr>
            </w:pPr>
            <w:r>
              <w:rPr>
                <w:color w:val="000000"/>
              </w:rPr>
              <w:t xml:space="preserve">The programme is designed around enhancing the employability of students and their long-term career prospects. This includes developing attributes in students such as resilience and an appreciation of cultural diversity, drawing Activate Learning’s </w:t>
            </w:r>
            <w:hyperlink r:id="rId10">
              <w:r w:rsidR="00C71E62">
                <w:rPr>
                  <w:color w:val="ED1955"/>
                  <w:u w:val="single"/>
                </w:rPr>
                <w:t>Educational Gain</w:t>
              </w:r>
            </w:hyperlink>
            <w:r>
              <w:rPr>
                <w:color w:val="000000"/>
              </w:rPr>
              <w:t xml:space="preserve"> model, and its impact on commercial entities and decision-making, particularly in a global environment. It aims to provide a solid theoretical and academic foundation, enabling students to solve problems and </w:t>
            </w:r>
            <w:proofErr w:type="spellStart"/>
            <w:r>
              <w:rPr>
                <w:color w:val="000000"/>
              </w:rPr>
              <w:t>capitalise</w:t>
            </w:r>
            <w:proofErr w:type="spellEnd"/>
            <w:r>
              <w:rPr>
                <w:color w:val="000000"/>
              </w:rPr>
              <w:t xml:space="preserve"> on opportunities within a business context. The programme also aims to make students aware of their social responsibilities to the community as much as to the needs of employers. In the digital age of pervasive social media, this is a commercial as well as an ethical imperative, and one with which students on the programme will be fully acquainted. </w:t>
            </w:r>
          </w:p>
          <w:p w14:paraId="4584BE2D" w14:textId="77777777" w:rsidR="00C71E62" w:rsidRDefault="00C71E62">
            <w:pPr>
              <w:pBdr>
                <w:top w:val="nil"/>
                <w:left w:val="nil"/>
                <w:bottom w:val="nil"/>
                <w:right w:val="nil"/>
                <w:between w:val="nil"/>
              </w:pBdr>
              <w:rPr>
                <w:color w:val="000000"/>
              </w:rPr>
            </w:pPr>
          </w:p>
          <w:p w14:paraId="1080A1B6" w14:textId="77777777" w:rsidR="00C71E62" w:rsidRDefault="00000000">
            <w:pPr>
              <w:pBdr>
                <w:top w:val="nil"/>
                <w:left w:val="nil"/>
                <w:bottom w:val="nil"/>
                <w:right w:val="nil"/>
                <w:between w:val="nil"/>
              </w:pBdr>
              <w:rPr>
                <w:b/>
                <w:color w:val="000000"/>
              </w:rPr>
            </w:pPr>
            <w:r>
              <w:rPr>
                <w:b/>
                <w:color w:val="000000"/>
              </w:rPr>
              <w:t>Programme Structure</w:t>
            </w:r>
          </w:p>
          <w:p w14:paraId="31C88308" w14:textId="77777777" w:rsidR="00C71E62" w:rsidRDefault="00C71E62">
            <w:pPr>
              <w:pBdr>
                <w:top w:val="nil"/>
                <w:left w:val="nil"/>
                <w:bottom w:val="nil"/>
                <w:right w:val="nil"/>
                <w:between w:val="nil"/>
              </w:pBdr>
              <w:rPr>
                <w:color w:val="000000"/>
              </w:rPr>
            </w:pPr>
          </w:p>
          <w:p w14:paraId="7457A16B" w14:textId="39884011" w:rsidR="00C71E62" w:rsidRDefault="00000000">
            <w:pPr>
              <w:pBdr>
                <w:top w:val="nil"/>
                <w:left w:val="nil"/>
                <w:bottom w:val="nil"/>
                <w:right w:val="nil"/>
                <w:between w:val="nil"/>
              </w:pBdr>
              <w:ind w:left="22"/>
            </w:pPr>
            <w:r>
              <w:rPr>
                <w:color w:val="000000"/>
              </w:rPr>
              <w:t xml:space="preserve">The programme is designed to be studied over 1 year full-time. It is arranged in 2 semesters per year, </w:t>
            </w:r>
            <w:r>
              <w:t xml:space="preserve">with 12 formal teaching weeks per semester and an additional two weeks at the end of each semester for assessment time. There will be a </w:t>
            </w:r>
            <w:r w:rsidR="00BF77AE">
              <w:t>3-hour</w:t>
            </w:r>
            <w:r>
              <w:t xml:space="preserve"> timetabled slot for each unit over two full timetabled days. The formal weekly sessions will be complemented with 1-2 hours of tutorial time. Independent study around these weekly sessions will be expected to support your learning and assessment </w:t>
            </w:r>
            <w:r w:rsidR="00BF77AE">
              <w:t>of</w:t>
            </w:r>
            <w:r>
              <w:t xml:space="preserve"> the programme.</w:t>
            </w:r>
          </w:p>
          <w:p w14:paraId="60D88C11" w14:textId="77777777" w:rsidR="00C71E62" w:rsidRDefault="00C71E62">
            <w:pPr>
              <w:pBdr>
                <w:top w:val="nil"/>
                <w:left w:val="nil"/>
                <w:bottom w:val="nil"/>
                <w:right w:val="nil"/>
                <w:between w:val="nil"/>
              </w:pBdr>
              <w:ind w:left="22"/>
            </w:pPr>
          </w:p>
          <w:p w14:paraId="6E824E4D" w14:textId="77777777" w:rsidR="00C71E62" w:rsidRDefault="00000000">
            <w:pPr>
              <w:pBdr>
                <w:top w:val="nil"/>
                <w:left w:val="nil"/>
                <w:bottom w:val="nil"/>
                <w:right w:val="nil"/>
                <w:between w:val="nil"/>
              </w:pBdr>
              <w:ind w:left="22"/>
              <w:rPr>
                <w:color w:val="FF0000"/>
              </w:rPr>
            </w:pPr>
            <w:r>
              <w:rPr>
                <w:color w:val="000000"/>
              </w:rPr>
              <w:lastRenderedPageBreak/>
              <w:t xml:space="preserve">The BTEC HNC in </w:t>
            </w:r>
            <w:r>
              <w:t xml:space="preserve">Community </w:t>
            </w:r>
            <w:r>
              <w:rPr>
                <w:color w:val="000000"/>
              </w:rPr>
              <w:t xml:space="preserve">Coaching is a qualification </w:t>
            </w:r>
            <w:r>
              <w:t>of 120</w:t>
            </w:r>
            <w:r>
              <w:rPr>
                <w:color w:val="000000"/>
              </w:rPr>
              <w:t xml:space="preserve"> credits, at level 4, comprising </w:t>
            </w:r>
            <w:r>
              <w:t>8</w:t>
            </w:r>
            <w:r>
              <w:rPr>
                <w:color w:val="000000"/>
              </w:rPr>
              <w:t xml:space="preserve"> mandatory core units (</w:t>
            </w:r>
            <w:r>
              <w:t>120</w:t>
            </w:r>
            <w:r>
              <w:rPr>
                <w:color w:val="000000"/>
              </w:rPr>
              <w:t xml:space="preserve"> credits</w:t>
            </w:r>
            <w:r>
              <w:t>)</w:t>
            </w:r>
            <w:r>
              <w:rPr>
                <w:color w:val="000000"/>
              </w:rPr>
              <w:t xml:space="preserve">. </w:t>
            </w:r>
            <w:r>
              <w:t>The delivery of the units are indicated in the table below.</w:t>
            </w:r>
          </w:p>
          <w:p w14:paraId="1802CFEB" w14:textId="77777777" w:rsidR="00C71E62" w:rsidRDefault="00C71E62">
            <w:pPr>
              <w:pBdr>
                <w:top w:val="nil"/>
                <w:left w:val="nil"/>
                <w:bottom w:val="nil"/>
                <w:right w:val="nil"/>
                <w:between w:val="nil"/>
              </w:pBdr>
              <w:ind w:left="22"/>
              <w:rPr>
                <w:color w:val="000000"/>
              </w:rPr>
            </w:pPr>
          </w:p>
          <w:p w14:paraId="3EEF2C3C" w14:textId="77777777" w:rsidR="00C71E62" w:rsidRDefault="00000000">
            <w:pPr>
              <w:pBdr>
                <w:top w:val="nil"/>
                <w:left w:val="nil"/>
                <w:bottom w:val="nil"/>
                <w:right w:val="nil"/>
                <w:between w:val="nil"/>
              </w:pBdr>
              <w:ind w:left="22"/>
              <w:rPr>
                <w:color w:val="000000"/>
              </w:rPr>
            </w:pPr>
            <w:r>
              <w:rPr>
                <w:color w:val="000000"/>
              </w:rPr>
              <w:t xml:space="preserve">The programme incorporates project-based units that are designed to develop the students’ knowledge and skill-base. There is a particular emphasis on developing learners with a global outlook; gaining an understanding of contemporary issues facing coaches and employers alike. These are all delivered through a combination of formal lectures, group tuition, practical demonstrations and reflective practice. </w:t>
            </w:r>
          </w:p>
          <w:p w14:paraId="7880C6AC" w14:textId="77777777" w:rsidR="00C71E62" w:rsidRDefault="00C71E62">
            <w:pPr>
              <w:pBdr>
                <w:top w:val="nil"/>
                <w:left w:val="nil"/>
                <w:bottom w:val="nil"/>
                <w:right w:val="nil"/>
                <w:between w:val="nil"/>
              </w:pBdr>
              <w:ind w:left="22"/>
              <w:rPr>
                <w:color w:val="000000"/>
              </w:rPr>
            </w:pPr>
          </w:p>
          <w:p w14:paraId="7F529C42" w14:textId="77777777" w:rsidR="00C71E62" w:rsidRDefault="00000000">
            <w:pPr>
              <w:pBdr>
                <w:top w:val="nil"/>
                <w:left w:val="nil"/>
                <w:bottom w:val="nil"/>
                <w:right w:val="nil"/>
                <w:between w:val="nil"/>
              </w:pBdr>
              <w:ind w:left="22"/>
              <w:rPr>
                <w:color w:val="000000"/>
              </w:rPr>
            </w:pPr>
            <w:r>
              <w:rPr>
                <w:color w:val="000000"/>
              </w:rPr>
              <w:t xml:space="preserve">The units form the basis of assessments for the programme. It is important to note that in order to obtain a full HNC the student must gain a pass mark in each of the units.  </w:t>
            </w:r>
          </w:p>
          <w:p w14:paraId="1F417FD9" w14:textId="77777777" w:rsidR="00C71E62" w:rsidRDefault="00C71E62">
            <w:pPr>
              <w:pBdr>
                <w:top w:val="nil"/>
                <w:left w:val="nil"/>
                <w:bottom w:val="nil"/>
                <w:right w:val="nil"/>
                <w:between w:val="nil"/>
              </w:pBdr>
              <w:ind w:left="22"/>
              <w:rPr>
                <w:color w:val="000000"/>
              </w:rPr>
            </w:pPr>
          </w:p>
          <w:p w14:paraId="2ED262A7" w14:textId="7EFB62AF" w:rsidR="00C71E62" w:rsidRDefault="00000000">
            <w:pPr>
              <w:pBdr>
                <w:top w:val="nil"/>
                <w:left w:val="nil"/>
                <w:bottom w:val="nil"/>
                <w:right w:val="nil"/>
                <w:between w:val="nil"/>
              </w:pBdr>
              <w:ind w:left="22"/>
              <w:rPr>
                <w:color w:val="000000"/>
              </w:rPr>
            </w:pPr>
            <w:r>
              <w:rPr>
                <w:color w:val="000000"/>
              </w:rPr>
              <w:t xml:space="preserve">The units on this programme have also been designed from a learning-time perspective. For example, a </w:t>
            </w:r>
            <w:r w:rsidR="00C932EC">
              <w:rPr>
                <w:color w:val="000000"/>
              </w:rPr>
              <w:t>15-credit</w:t>
            </w:r>
            <w:r>
              <w:rPr>
                <w:color w:val="000000"/>
              </w:rPr>
              <w:t xml:space="preserve"> unit is equivalent to approximately 150 learning hours. Within these hours, which are the expected time taken by students to complete the learning outcomes, there are Guided Learning hours (GLH). Guided learning hours are defined as time when your tutor (or equivalent) is present and giving specific guidance (e.g. lectures, tutorials, demonstrations and workshops).   </w:t>
            </w:r>
          </w:p>
        </w:tc>
      </w:tr>
    </w:tbl>
    <w:p w14:paraId="484D1A30" w14:textId="77777777" w:rsidR="00C71E62" w:rsidRDefault="00C71E62">
      <w:pPr>
        <w:pBdr>
          <w:top w:val="nil"/>
          <w:left w:val="nil"/>
          <w:bottom w:val="nil"/>
          <w:right w:val="nil"/>
          <w:between w:val="nil"/>
        </w:pBdr>
        <w:rPr>
          <w:b/>
          <w:color w:val="000000"/>
          <w:sz w:val="22"/>
          <w:szCs w:val="22"/>
        </w:rPr>
      </w:pPr>
      <w:bookmarkStart w:id="0" w:name="_heading=h.gjdgxs" w:colFirst="0" w:colLast="0"/>
      <w:bookmarkEnd w:id="0"/>
    </w:p>
    <w:p w14:paraId="50F27003" w14:textId="77777777" w:rsidR="00C71E62" w:rsidRDefault="00C71E62">
      <w:pPr>
        <w:pBdr>
          <w:top w:val="nil"/>
          <w:left w:val="nil"/>
          <w:bottom w:val="nil"/>
          <w:right w:val="nil"/>
          <w:between w:val="nil"/>
        </w:pBdr>
        <w:rPr>
          <w:b/>
          <w:sz w:val="22"/>
          <w:szCs w:val="22"/>
        </w:rPr>
      </w:pPr>
    </w:p>
    <w:p w14:paraId="7FC0155A" w14:textId="77777777" w:rsidR="00C71E62" w:rsidRDefault="00C71E62">
      <w:pPr>
        <w:pBdr>
          <w:top w:val="nil"/>
          <w:left w:val="nil"/>
          <w:bottom w:val="nil"/>
          <w:right w:val="nil"/>
          <w:between w:val="nil"/>
        </w:pBdr>
        <w:rPr>
          <w:b/>
          <w:sz w:val="22"/>
          <w:szCs w:val="22"/>
        </w:rPr>
      </w:pPr>
    </w:p>
    <w:p w14:paraId="07001DFA" w14:textId="77777777" w:rsidR="00C71E62" w:rsidRDefault="00C71E62">
      <w:pPr>
        <w:pBdr>
          <w:top w:val="nil"/>
          <w:left w:val="nil"/>
          <w:bottom w:val="nil"/>
          <w:right w:val="nil"/>
          <w:between w:val="nil"/>
        </w:pBdr>
        <w:rPr>
          <w:b/>
          <w:sz w:val="22"/>
          <w:szCs w:val="22"/>
        </w:rPr>
      </w:pPr>
    </w:p>
    <w:p w14:paraId="2A8AB219" w14:textId="77777777" w:rsidR="00C71E62" w:rsidRDefault="00C71E62">
      <w:pPr>
        <w:pBdr>
          <w:top w:val="nil"/>
          <w:left w:val="nil"/>
          <w:bottom w:val="nil"/>
          <w:right w:val="nil"/>
          <w:between w:val="nil"/>
        </w:pBdr>
        <w:rPr>
          <w:b/>
          <w:sz w:val="22"/>
          <w:szCs w:val="22"/>
        </w:rPr>
      </w:pPr>
    </w:p>
    <w:p w14:paraId="25DF3E5A" w14:textId="77777777" w:rsidR="00C71E62" w:rsidRDefault="00000000">
      <w:pPr>
        <w:pBdr>
          <w:top w:val="nil"/>
          <w:left w:val="nil"/>
          <w:bottom w:val="nil"/>
          <w:right w:val="nil"/>
          <w:between w:val="nil"/>
        </w:pBdr>
        <w:rPr>
          <w:b/>
          <w:color w:val="000000"/>
          <w:sz w:val="22"/>
          <w:szCs w:val="22"/>
        </w:rPr>
      </w:pPr>
      <w:r>
        <w:rPr>
          <w:b/>
          <w:color w:val="000000"/>
          <w:sz w:val="22"/>
          <w:szCs w:val="22"/>
        </w:rPr>
        <w:t xml:space="preserve">Full Time Delivery </w:t>
      </w:r>
    </w:p>
    <w:p w14:paraId="0067D14D" w14:textId="77777777" w:rsidR="00C71E62" w:rsidRDefault="00C71E62">
      <w:pPr>
        <w:pBdr>
          <w:top w:val="nil"/>
          <w:left w:val="nil"/>
          <w:bottom w:val="nil"/>
          <w:right w:val="nil"/>
          <w:between w:val="nil"/>
        </w:pBdr>
        <w:rPr>
          <w:b/>
          <w:color w:val="000000"/>
          <w:sz w:val="22"/>
          <w:szCs w:val="22"/>
        </w:rPr>
      </w:pPr>
    </w:p>
    <w:tbl>
      <w:tblPr>
        <w:tblStyle w:val="af8"/>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
        <w:gridCol w:w="5079"/>
        <w:gridCol w:w="845"/>
        <w:gridCol w:w="906"/>
        <w:gridCol w:w="734"/>
        <w:gridCol w:w="764"/>
      </w:tblGrid>
      <w:tr w:rsidR="00C71E62" w14:paraId="0FF4452C" w14:textId="77777777">
        <w:tc>
          <w:tcPr>
            <w:tcW w:w="5761" w:type="dxa"/>
            <w:gridSpan w:val="2"/>
            <w:shd w:val="clear" w:color="auto" w:fill="000000"/>
            <w:vAlign w:val="center"/>
          </w:tcPr>
          <w:p w14:paraId="29D518D8" w14:textId="77777777" w:rsidR="00C71E62" w:rsidRDefault="00000000">
            <w:pPr>
              <w:rPr>
                <w:b/>
                <w:color w:val="FFFFFF"/>
              </w:rPr>
            </w:pPr>
            <w:r>
              <w:rPr>
                <w:b/>
                <w:color w:val="FFFFFF"/>
              </w:rPr>
              <w:t>Core Units (No. / Title)</w:t>
            </w:r>
          </w:p>
        </w:tc>
        <w:tc>
          <w:tcPr>
            <w:tcW w:w="845" w:type="dxa"/>
            <w:shd w:val="clear" w:color="auto" w:fill="000000"/>
            <w:vAlign w:val="center"/>
          </w:tcPr>
          <w:p w14:paraId="6F26CDD7" w14:textId="77777777" w:rsidR="00C71E62" w:rsidRDefault="00000000">
            <w:pPr>
              <w:rPr>
                <w:b/>
                <w:color w:val="FFFFFF"/>
              </w:rPr>
            </w:pPr>
            <w:r>
              <w:rPr>
                <w:b/>
                <w:color w:val="FFFFFF"/>
              </w:rPr>
              <w:t>Level</w:t>
            </w:r>
          </w:p>
        </w:tc>
        <w:tc>
          <w:tcPr>
            <w:tcW w:w="906" w:type="dxa"/>
            <w:shd w:val="clear" w:color="auto" w:fill="000000"/>
            <w:vAlign w:val="center"/>
          </w:tcPr>
          <w:p w14:paraId="3EB3A23F" w14:textId="77777777" w:rsidR="00C71E62" w:rsidRDefault="00000000">
            <w:pPr>
              <w:rPr>
                <w:b/>
                <w:color w:val="FFFFFF"/>
              </w:rPr>
            </w:pPr>
            <w:r>
              <w:rPr>
                <w:b/>
                <w:color w:val="FFFFFF"/>
              </w:rPr>
              <w:t>Credit Value</w:t>
            </w:r>
          </w:p>
        </w:tc>
        <w:tc>
          <w:tcPr>
            <w:tcW w:w="734" w:type="dxa"/>
            <w:shd w:val="clear" w:color="auto" w:fill="000000"/>
            <w:vAlign w:val="center"/>
          </w:tcPr>
          <w:p w14:paraId="0C642F85" w14:textId="77777777" w:rsidR="00C71E62" w:rsidRDefault="00000000">
            <w:pPr>
              <w:rPr>
                <w:b/>
                <w:color w:val="FFFFFF"/>
              </w:rPr>
            </w:pPr>
            <w:r>
              <w:rPr>
                <w:b/>
                <w:color w:val="FFFFFF"/>
              </w:rPr>
              <w:t xml:space="preserve">Yr 1 S1 </w:t>
            </w:r>
          </w:p>
        </w:tc>
        <w:tc>
          <w:tcPr>
            <w:tcW w:w="764" w:type="dxa"/>
            <w:shd w:val="clear" w:color="auto" w:fill="000000"/>
            <w:vAlign w:val="center"/>
          </w:tcPr>
          <w:p w14:paraId="7A7FB29E" w14:textId="77777777" w:rsidR="00C71E62" w:rsidRDefault="00000000">
            <w:pPr>
              <w:rPr>
                <w:b/>
                <w:color w:val="FFFFFF"/>
              </w:rPr>
            </w:pPr>
            <w:r>
              <w:rPr>
                <w:b/>
                <w:color w:val="FFFFFF"/>
              </w:rPr>
              <w:t>Yr 1 S2</w:t>
            </w:r>
          </w:p>
        </w:tc>
      </w:tr>
      <w:tr w:rsidR="00C71E62" w14:paraId="6108781C" w14:textId="77777777">
        <w:trPr>
          <w:trHeight w:val="57"/>
        </w:trPr>
        <w:tc>
          <w:tcPr>
            <w:tcW w:w="682" w:type="dxa"/>
          </w:tcPr>
          <w:p w14:paraId="290E6082" w14:textId="77777777" w:rsidR="00C71E62" w:rsidRDefault="00000000">
            <w:r>
              <w:t>1.</w:t>
            </w:r>
          </w:p>
        </w:tc>
        <w:tc>
          <w:tcPr>
            <w:tcW w:w="5079" w:type="dxa"/>
          </w:tcPr>
          <w:p w14:paraId="2799258F" w14:textId="77777777" w:rsidR="00C71E62" w:rsidRDefault="00000000">
            <w:r>
              <w:t>Nutrition </w:t>
            </w:r>
          </w:p>
        </w:tc>
        <w:tc>
          <w:tcPr>
            <w:tcW w:w="845" w:type="dxa"/>
            <w:vAlign w:val="center"/>
          </w:tcPr>
          <w:p w14:paraId="3942999E" w14:textId="77777777" w:rsidR="00C71E62" w:rsidRDefault="00000000">
            <w:pPr>
              <w:jc w:val="center"/>
            </w:pPr>
            <w:r>
              <w:t>4</w:t>
            </w:r>
          </w:p>
        </w:tc>
        <w:tc>
          <w:tcPr>
            <w:tcW w:w="906" w:type="dxa"/>
            <w:vAlign w:val="center"/>
          </w:tcPr>
          <w:p w14:paraId="4B0C24DB" w14:textId="77777777" w:rsidR="00C71E62" w:rsidRDefault="00000000">
            <w:pPr>
              <w:jc w:val="center"/>
            </w:pPr>
            <w:r>
              <w:t>15</w:t>
            </w:r>
          </w:p>
        </w:tc>
        <w:tc>
          <w:tcPr>
            <w:tcW w:w="734" w:type="dxa"/>
            <w:vAlign w:val="center"/>
          </w:tcPr>
          <w:p w14:paraId="2BEEB2F6" w14:textId="77777777" w:rsidR="00C71E62" w:rsidRDefault="00000000">
            <w:pPr>
              <w:jc w:val="center"/>
            </w:pPr>
            <w:r>
              <w:t>X</w:t>
            </w:r>
          </w:p>
        </w:tc>
        <w:tc>
          <w:tcPr>
            <w:tcW w:w="764" w:type="dxa"/>
            <w:vAlign w:val="center"/>
          </w:tcPr>
          <w:p w14:paraId="7F545331" w14:textId="77777777" w:rsidR="00C71E62" w:rsidRDefault="00C71E62">
            <w:pPr>
              <w:jc w:val="center"/>
            </w:pPr>
          </w:p>
        </w:tc>
      </w:tr>
      <w:tr w:rsidR="00C71E62" w14:paraId="1D12D2EC" w14:textId="77777777">
        <w:trPr>
          <w:trHeight w:val="57"/>
        </w:trPr>
        <w:tc>
          <w:tcPr>
            <w:tcW w:w="682" w:type="dxa"/>
          </w:tcPr>
          <w:p w14:paraId="1CF4A703" w14:textId="77777777" w:rsidR="00C71E62" w:rsidRDefault="00000000">
            <w:r>
              <w:t>2.</w:t>
            </w:r>
          </w:p>
        </w:tc>
        <w:tc>
          <w:tcPr>
            <w:tcW w:w="5079" w:type="dxa"/>
          </w:tcPr>
          <w:p w14:paraId="70B7D396" w14:textId="77777777" w:rsidR="00C71E62" w:rsidRDefault="00000000">
            <w:r>
              <w:t>Fundamentals of Sport and Exercise Psychology </w:t>
            </w:r>
          </w:p>
        </w:tc>
        <w:tc>
          <w:tcPr>
            <w:tcW w:w="845" w:type="dxa"/>
            <w:vAlign w:val="center"/>
          </w:tcPr>
          <w:p w14:paraId="573D15DB" w14:textId="77777777" w:rsidR="00C71E62" w:rsidRDefault="00000000">
            <w:pPr>
              <w:jc w:val="center"/>
            </w:pPr>
            <w:r>
              <w:t>4</w:t>
            </w:r>
          </w:p>
        </w:tc>
        <w:tc>
          <w:tcPr>
            <w:tcW w:w="906" w:type="dxa"/>
            <w:vAlign w:val="center"/>
          </w:tcPr>
          <w:p w14:paraId="5D7C4FD8" w14:textId="77777777" w:rsidR="00C71E62" w:rsidRDefault="00000000">
            <w:pPr>
              <w:jc w:val="center"/>
            </w:pPr>
            <w:r>
              <w:t>15</w:t>
            </w:r>
          </w:p>
        </w:tc>
        <w:tc>
          <w:tcPr>
            <w:tcW w:w="734" w:type="dxa"/>
            <w:vAlign w:val="center"/>
          </w:tcPr>
          <w:p w14:paraId="050FF0C8" w14:textId="77777777" w:rsidR="00C71E62" w:rsidRDefault="00C71E62">
            <w:pPr>
              <w:jc w:val="center"/>
            </w:pPr>
          </w:p>
        </w:tc>
        <w:tc>
          <w:tcPr>
            <w:tcW w:w="764" w:type="dxa"/>
            <w:vAlign w:val="center"/>
          </w:tcPr>
          <w:p w14:paraId="4F94DDEE" w14:textId="77777777" w:rsidR="00C71E62" w:rsidRDefault="00000000">
            <w:pPr>
              <w:jc w:val="center"/>
            </w:pPr>
            <w:r>
              <w:t>X</w:t>
            </w:r>
          </w:p>
        </w:tc>
      </w:tr>
      <w:tr w:rsidR="00C71E62" w14:paraId="02ED70F6" w14:textId="77777777">
        <w:trPr>
          <w:trHeight w:val="57"/>
        </w:trPr>
        <w:tc>
          <w:tcPr>
            <w:tcW w:w="682" w:type="dxa"/>
          </w:tcPr>
          <w:p w14:paraId="76326AF1" w14:textId="77777777" w:rsidR="00C71E62" w:rsidRDefault="00000000">
            <w:r>
              <w:t>3.</w:t>
            </w:r>
          </w:p>
        </w:tc>
        <w:tc>
          <w:tcPr>
            <w:tcW w:w="5079" w:type="dxa"/>
          </w:tcPr>
          <w:p w14:paraId="073D9D22" w14:textId="77777777" w:rsidR="00C71E62" w:rsidRDefault="00000000">
            <w:r>
              <w:t>Anatomy and Physiology </w:t>
            </w:r>
          </w:p>
        </w:tc>
        <w:tc>
          <w:tcPr>
            <w:tcW w:w="845" w:type="dxa"/>
            <w:vAlign w:val="center"/>
          </w:tcPr>
          <w:p w14:paraId="61C1E54F" w14:textId="77777777" w:rsidR="00C71E62" w:rsidRDefault="00000000">
            <w:pPr>
              <w:jc w:val="center"/>
            </w:pPr>
            <w:r>
              <w:t>4</w:t>
            </w:r>
          </w:p>
        </w:tc>
        <w:tc>
          <w:tcPr>
            <w:tcW w:w="906" w:type="dxa"/>
            <w:vAlign w:val="center"/>
          </w:tcPr>
          <w:p w14:paraId="6686FE3C" w14:textId="77777777" w:rsidR="00C71E62" w:rsidRDefault="00000000">
            <w:pPr>
              <w:jc w:val="center"/>
            </w:pPr>
            <w:r>
              <w:t>15</w:t>
            </w:r>
          </w:p>
        </w:tc>
        <w:tc>
          <w:tcPr>
            <w:tcW w:w="734" w:type="dxa"/>
            <w:vAlign w:val="center"/>
          </w:tcPr>
          <w:p w14:paraId="63D42B45" w14:textId="77777777" w:rsidR="00C71E62" w:rsidRDefault="00000000">
            <w:pPr>
              <w:jc w:val="center"/>
            </w:pPr>
            <w:r>
              <w:t>X</w:t>
            </w:r>
          </w:p>
        </w:tc>
        <w:tc>
          <w:tcPr>
            <w:tcW w:w="764" w:type="dxa"/>
            <w:vAlign w:val="center"/>
          </w:tcPr>
          <w:p w14:paraId="5D8CF059" w14:textId="77777777" w:rsidR="00C71E62" w:rsidRDefault="00C71E62">
            <w:pPr>
              <w:jc w:val="center"/>
            </w:pPr>
          </w:p>
        </w:tc>
      </w:tr>
      <w:tr w:rsidR="00C71E62" w14:paraId="1DFC8A47" w14:textId="77777777">
        <w:trPr>
          <w:trHeight w:val="57"/>
        </w:trPr>
        <w:tc>
          <w:tcPr>
            <w:tcW w:w="682" w:type="dxa"/>
          </w:tcPr>
          <w:p w14:paraId="6A132CAF" w14:textId="77777777" w:rsidR="00C71E62" w:rsidRDefault="00000000">
            <w:r>
              <w:t>4.</w:t>
            </w:r>
          </w:p>
        </w:tc>
        <w:tc>
          <w:tcPr>
            <w:tcW w:w="5079" w:type="dxa"/>
          </w:tcPr>
          <w:p w14:paraId="7CA632EE" w14:textId="77777777" w:rsidR="00C71E62" w:rsidRDefault="00000000">
            <w:r>
              <w:t>Professional skills </w:t>
            </w:r>
          </w:p>
        </w:tc>
        <w:tc>
          <w:tcPr>
            <w:tcW w:w="845" w:type="dxa"/>
            <w:vAlign w:val="center"/>
          </w:tcPr>
          <w:p w14:paraId="0EFCC0E3" w14:textId="77777777" w:rsidR="00C71E62" w:rsidRDefault="00000000">
            <w:pPr>
              <w:jc w:val="center"/>
            </w:pPr>
            <w:r>
              <w:t>4</w:t>
            </w:r>
          </w:p>
        </w:tc>
        <w:tc>
          <w:tcPr>
            <w:tcW w:w="906" w:type="dxa"/>
            <w:vAlign w:val="center"/>
          </w:tcPr>
          <w:p w14:paraId="118071A6" w14:textId="77777777" w:rsidR="00C71E62" w:rsidRDefault="00000000">
            <w:pPr>
              <w:jc w:val="center"/>
            </w:pPr>
            <w:r>
              <w:t>15</w:t>
            </w:r>
          </w:p>
        </w:tc>
        <w:tc>
          <w:tcPr>
            <w:tcW w:w="734" w:type="dxa"/>
            <w:vAlign w:val="center"/>
          </w:tcPr>
          <w:p w14:paraId="0794B517" w14:textId="77777777" w:rsidR="00C71E62" w:rsidRDefault="00C71E62">
            <w:pPr>
              <w:jc w:val="center"/>
            </w:pPr>
          </w:p>
        </w:tc>
        <w:tc>
          <w:tcPr>
            <w:tcW w:w="764" w:type="dxa"/>
            <w:vAlign w:val="center"/>
          </w:tcPr>
          <w:p w14:paraId="6EF3E747" w14:textId="77777777" w:rsidR="00C71E62" w:rsidRDefault="00000000">
            <w:pPr>
              <w:jc w:val="center"/>
            </w:pPr>
            <w:r>
              <w:t>X</w:t>
            </w:r>
          </w:p>
        </w:tc>
      </w:tr>
      <w:tr w:rsidR="00C71E62" w14:paraId="2AAEB9E8" w14:textId="77777777">
        <w:trPr>
          <w:trHeight w:val="57"/>
        </w:trPr>
        <w:tc>
          <w:tcPr>
            <w:tcW w:w="682" w:type="dxa"/>
          </w:tcPr>
          <w:p w14:paraId="7C518674" w14:textId="77777777" w:rsidR="00C71E62" w:rsidRDefault="00000000">
            <w:r>
              <w:t xml:space="preserve">5. </w:t>
            </w:r>
          </w:p>
        </w:tc>
        <w:tc>
          <w:tcPr>
            <w:tcW w:w="5079" w:type="dxa"/>
          </w:tcPr>
          <w:p w14:paraId="5EA006FA" w14:textId="77777777" w:rsidR="00C71E62" w:rsidRDefault="00000000">
            <w:r>
              <w:t>Coaching practice and skill development </w:t>
            </w:r>
          </w:p>
        </w:tc>
        <w:tc>
          <w:tcPr>
            <w:tcW w:w="845" w:type="dxa"/>
            <w:vAlign w:val="center"/>
          </w:tcPr>
          <w:p w14:paraId="3C3881F5" w14:textId="77777777" w:rsidR="00C71E62" w:rsidRDefault="00000000">
            <w:pPr>
              <w:jc w:val="center"/>
            </w:pPr>
            <w:r>
              <w:t>4</w:t>
            </w:r>
          </w:p>
        </w:tc>
        <w:tc>
          <w:tcPr>
            <w:tcW w:w="906" w:type="dxa"/>
            <w:vAlign w:val="center"/>
          </w:tcPr>
          <w:p w14:paraId="5EDE6560" w14:textId="77777777" w:rsidR="00C71E62" w:rsidRDefault="00000000">
            <w:pPr>
              <w:jc w:val="center"/>
            </w:pPr>
            <w:r>
              <w:t>15</w:t>
            </w:r>
          </w:p>
        </w:tc>
        <w:tc>
          <w:tcPr>
            <w:tcW w:w="734" w:type="dxa"/>
            <w:vAlign w:val="center"/>
          </w:tcPr>
          <w:p w14:paraId="14E3F7C2" w14:textId="77777777" w:rsidR="00C71E62" w:rsidRDefault="00000000">
            <w:pPr>
              <w:jc w:val="center"/>
            </w:pPr>
            <w:r>
              <w:t>X</w:t>
            </w:r>
          </w:p>
        </w:tc>
        <w:tc>
          <w:tcPr>
            <w:tcW w:w="764" w:type="dxa"/>
            <w:vAlign w:val="center"/>
          </w:tcPr>
          <w:p w14:paraId="08A485D4" w14:textId="77777777" w:rsidR="00C71E62" w:rsidRDefault="00C71E62">
            <w:pPr>
              <w:jc w:val="center"/>
            </w:pPr>
          </w:p>
        </w:tc>
      </w:tr>
      <w:tr w:rsidR="00C71E62" w14:paraId="3AB816BD" w14:textId="77777777">
        <w:trPr>
          <w:trHeight w:val="57"/>
        </w:trPr>
        <w:tc>
          <w:tcPr>
            <w:tcW w:w="682" w:type="dxa"/>
          </w:tcPr>
          <w:p w14:paraId="0C1ED359" w14:textId="77777777" w:rsidR="00C71E62" w:rsidRDefault="00000000">
            <w:r>
              <w:t>6.</w:t>
            </w:r>
          </w:p>
        </w:tc>
        <w:tc>
          <w:tcPr>
            <w:tcW w:w="5079" w:type="dxa"/>
          </w:tcPr>
          <w:p w14:paraId="159EBD8C" w14:textId="77777777" w:rsidR="00C71E62" w:rsidRDefault="00000000">
            <w:r>
              <w:t>Training, fitness, testing </w:t>
            </w:r>
          </w:p>
        </w:tc>
        <w:tc>
          <w:tcPr>
            <w:tcW w:w="845" w:type="dxa"/>
            <w:vAlign w:val="center"/>
          </w:tcPr>
          <w:p w14:paraId="05DA70E4" w14:textId="77777777" w:rsidR="00C71E62" w:rsidRDefault="00000000">
            <w:pPr>
              <w:jc w:val="center"/>
            </w:pPr>
            <w:r>
              <w:t>4</w:t>
            </w:r>
          </w:p>
        </w:tc>
        <w:tc>
          <w:tcPr>
            <w:tcW w:w="906" w:type="dxa"/>
            <w:vAlign w:val="center"/>
          </w:tcPr>
          <w:p w14:paraId="282983D1" w14:textId="77777777" w:rsidR="00C71E62" w:rsidRDefault="00000000">
            <w:pPr>
              <w:jc w:val="center"/>
            </w:pPr>
            <w:r>
              <w:t>15</w:t>
            </w:r>
          </w:p>
        </w:tc>
        <w:tc>
          <w:tcPr>
            <w:tcW w:w="734" w:type="dxa"/>
            <w:vAlign w:val="center"/>
          </w:tcPr>
          <w:p w14:paraId="5BB2AA1D" w14:textId="77777777" w:rsidR="00C71E62" w:rsidRDefault="00000000">
            <w:pPr>
              <w:jc w:val="center"/>
            </w:pPr>
            <w:r>
              <w:t>X</w:t>
            </w:r>
          </w:p>
        </w:tc>
        <w:tc>
          <w:tcPr>
            <w:tcW w:w="764" w:type="dxa"/>
            <w:vAlign w:val="center"/>
          </w:tcPr>
          <w:p w14:paraId="7034F56C" w14:textId="77777777" w:rsidR="00C71E62" w:rsidRDefault="00C71E62">
            <w:pPr>
              <w:jc w:val="center"/>
            </w:pPr>
          </w:p>
        </w:tc>
      </w:tr>
      <w:tr w:rsidR="00C71E62" w14:paraId="1B4A562D" w14:textId="77777777">
        <w:trPr>
          <w:trHeight w:val="170"/>
        </w:trPr>
        <w:tc>
          <w:tcPr>
            <w:tcW w:w="682" w:type="dxa"/>
          </w:tcPr>
          <w:p w14:paraId="434D16B8" w14:textId="77777777" w:rsidR="00C71E62" w:rsidRDefault="00000000">
            <w:r>
              <w:t>7.</w:t>
            </w:r>
          </w:p>
        </w:tc>
        <w:tc>
          <w:tcPr>
            <w:tcW w:w="5079" w:type="dxa"/>
          </w:tcPr>
          <w:p w14:paraId="7F6D644F" w14:textId="77777777" w:rsidR="00C71E62" w:rsidRDefault="00000000">
            <w:r>
              <w:t>Lifestyle Coaching</w:t>
            </w:r>
          </w:p>
        </w:tc>
        <w:tc>
          <w:tcPr>
            <w:tcW w:w="845" w:type="dxa"/>
            <w:vAlign w:val="center"/>
          </w:tcPr>
          <w:p w14:paraId="22AE383E" w14:textId="77777777" w:rsidR="00C71E62" w:rsidRDefault="00000000">
            <w:pPr>
              <w:jc w:val="center"/>
            </w:pPr>
            <w:r>
              <w:t>4</w:t>
            </w:r>
          </w:p>
        </w:tc>
        <w:tc>
          <w:tcPr>
            <w:tcW w:w="906" w:type="dxa"/>
            <w:vAlign w:val="center"/>
          </w:tcPr>
          <w:p w14:paraId="10B05AA6" w14:textId="77777777" w:rsidR="00C71E62" w:rsidRDefault="00000000">
            <w:pPr>
              <w:jc w:val="center"/>
            </w:pPr>
            <w:r>
              <w:t>15</w:t>
            </w:r>
          </w:p>
        </w:tc>
        <w:tc>
          <w:tcPr>
            <w:tcW w:w="734" w:type="dxa"/>
            <w:vAlign w:val="center"/>
          </w:tcPr>
          <w:p w14:paraId="589247A7" w14:textId="77777777" w:rsidR="00C71E62" w:rsidRDefault="00C71E62">
            <w:pPr>
              <w:jc w:val="center"/>
            </w:pPr>
          </w:p>
        </w:tc>
        <w:tc>
          <w:tcPr>
            <w:tcW w:w="764" w:type="dxa"/>
            <w:vAlign w:val="center"/>
          </w:tcPr>
          <w:p w14:paraId="7ED3B817" w14:textId="77777777" w:rsidR="00C71E62" w:rsidRDefault="00000000">
            <w:pPr>
              <w:jc w:val="center"/>
            </w:pPr>
            <w:r>
              <w:t>X</w:t>
            </w:r>
          </w:p>
        </w:tc>
      </w:tr>
      <w:tr w:rsidR="00C71E62" w14:paraId="1B319F87" w14:textId="77777777">
        <w:trPr>
          <w:trHeight w:val="170"/>
        </w:trPr>
        <w:tc>
          <w:tcPr>
            <w:tcW w:w="682" w:type="dxa"/>
          </w:tcPr>
          <w:p w14:paraId="0DD8ADBB" w14:textId="77777777" w:rsidR="00C71E62" w:rsidRDefault="00000000">
            <w:r>
              <w:t>8.</w:t>
            </w:r>
          </w:p>
        </w:tc>
        <w:tc>
          <w:tcPr>
            <w:tcW w:w="5079" w:type="dxa"/>
          </w:tcPr>
          <w:p w14:paraId="4C8D86F2" w14:textId="77777777" w:rsidR="00C71E62" w:rsidRDefault="00000000">
            <w:r>
              <w:t>Community coaching </w:t>
            </w:r>
          </w:p>
        </w:tc>
        <w:tc>
          <w:tcPr>
            <w:tcW w:w="845" w:type="dxa"/>
            <w:vAlign w:val="center"/>
          </w:tcPr>
          <w:p w14:paraId="6C7ECB9A" w14:textId="77777777" w:rsidR="00C71E62" w:rsidRDefault="00000000">
            <w:pPr>
              <w:jc w:val="center"/>
            </w:pPr>
            <w:r>
              <w:t>4</w:t>
            </w:r>
          </w:p>
        </w:tc>
        <w:tc>
          <w:tcPr>
            <w:tcW w:w="906" w:type="dxa"/>
            <w:vAlign w:val="center"/>
          </w:tcPr>
          <w:p w14:paraId="5755BD0B" w14:textId="77777777" w:rsidR="00C71E62" w:rsidRDefault="00000000">
            <w:pPr>
              <w:jc w:val="center"/>
            </w:pPr>
            <w:r>
              <w:t>15</w:t>
            </w:r>
          </w:p>
        </w:tc>
        <w:tc>
          <w:tcPr>
            <w:tcW w:w="734" w:type="dxa"/>
            <w:vAlign w:val="center"/>
          </w:tcPr>
          <w:p w14:paraId="0F4230A2" w14:textId="77777777" w:rsidR="00C71E62" w:rsidRDefault="00C71E62">
            <w:pPr>
              <w:jc w:val="center"/>
            </w:pPr>
          </w:p>
        </w:tc>
        <w:tc>
          <w:tcPr>
            <w:tcW w:w="764" w:type="dxa"/>
            <w:vAlign w:val="center"/>
          </w:tcPr>
          <w:p w14:paraId="79505DF6" w14:textId="77777777" w:rsidR="00C71E62" w:rsidRDefault="00000000">
            <w:pPr>
              <w:jc w:val="center"/>
            </w:pPr>
            <w:r>
              <w:t>X</w:t>
            </w:r>
          </w:p>
        </w:tc>
      </w:tr>
    </w:tbl>
    <w:p w14:paraId="59C1CCF1" w14:textId="77777777" w:rsidR="00C71E62" w:rsidRDefault="00C71E62">
      <w:pPr>
        <w:pBdr>
          <w:top w:val="nil"/>
          <w:left w:val="nil"/>
          <w:bottom w:val="nil"/>
          <w:right w:val="nil"/>
          <w:between w:val="nil"/>
        </w:pBdr>
        <w:rPr>
          <w:b/>
          <w:color w:val="000000"/>
          <w:sz w:val="22"/>
          <w:szCs w:val="22"/>
        </w:rPr>
      </w:pPr>
    </w:p>
    <w:tbl>
      <w:tblPr>
        <w:tblStyle w:val="af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02DE8349" w14:textId="77777777">
        <w:trPr>
          <w:tblHeader/>
        </w:trPr>
        <w:tc>
          <w:tcPr>
            <w:tcW w:w="9010" w:type="dxa"/>
            <w:shd w:val="clear" w:color="auto" w:fill="000000"/>
          </w:tcPr>
          <w:p w14:paraId="7AE01DA7" w14:textId="77777777" w:rsidR="00C71E62" w:rsidRDefault="00000000">
            <w:pPr>
              <w:pBdr>
                <w:top w:val="nil"/>
                <w:left w:val="nil"/>
                <w:bottom w:val="nil"/>
                <w:right w:val="nil"/>
                <w:between w:val="nil"/>
              </w:pBdr>
              <w:rPr>
                <w:b/>
                <w:color w:val="FFFFFF"/>
              </w:rPr>
            </w:pPr>
            <w:r>
              <w:rPr>
                <w:b/>
                <w:color w:val="FFFFFF"/>
              </w:rPr>
              <w:t>Admissions Criteria</w:t>
            </w:r>
          </w:p>
        </w:tc>
      </w:tr>
      <w:tr w:rsidR="00C71E62" w14:paraId="410A230A" w14:textId="77777777">
        <w:tc>
          <w:tcPr>
            <w:tcW w:w="9010" w:type="dxa"/>
          </w:tcPr>
          <w:p w14:paraId="2D5F457D" w14:textId="77777777" w:rsidR="00C71E62" w:rsidRDefault="00000000">
            <w:pPr>
              <w:pBdr>
                <w:top w:val="nil"/>
                <w:left w:val="nil"/>
                <w:bottom w:val="nil"/>
                <w:right w:val="nil"/>
                <w:between w:val="nil"/>
              </w:pBdr>
              <w:rPr>
                <w:color w:val="000000"/>
              </w:rPr>
            </w:pPr>
            <w:r>
              <w:t>As an applicant, you are normally expected to meet at least the minimum requirement of 80 UCAS points,</w:t>
            </w:r>
            <w:r>
              <w:rPr>
                <w:color w:val="000000"/>
              </w:rPr>
              <w:t xml:space="preserve"> made up of the following; </w:t>
            </w:r>
          </w:p>
          <w:p w14:paraId="3AF98835" w14:textId="77777777" w:rsidR="00C71E62" w:rsidRDefault="00000000">
            <w:pPr>
              <w:pBdr>
                <w:top w:val="nil"/>
                <w:left w:val="nil"/>
                <w:bottom w:val="nil"/>
                <w:right w:val="nil"/>
                <w:between w:val="nil"/>
              </w:pBdr>
              <w:rPr>
                <w:color w:val="000000"/>
              </w:rPr>
            </w:pPr>
            <w:r>
              <w:rPr>
                <w:color w:val="000000"/>
              </w:rPr>
              <w:t> </w:t>
            </w:r>
          </w:p>
          <w:p w14:paraId="11EB21CA" w14:textId="77777777" w:rsidR="00C71E62" w:rsidRDefault="00000000">
            <w:pPr>
              <w:numPr>
                <w:ilvl w:val="0"/>
                <w:numId w:val="5"/>
              </w:numPr>
              <w:pBdr>
                <w:top w:val="nil"/>
                <w:left w:val="nil"/>
                <w:bottom w:val="nil"/>
                <w:right w:val="nil"/>
                <w:between w:val="nil"/>
              </w:pBdr>
              <w:rPr>
                <w:color w:val="000000"/>
              </w:rPr>
            </w:pPr>
            <w:r>
              <w:rPr>
                <w:color w:val="000000"/>
              </w:rPr>
              <w:t xml:space="preserve">A* to C grade (9 to 4) in GCSE English Language and </w:t>
            </w:r>
            <w:proofErr w:type="spellStart"/>
            <w:r>
              <w:t>M</w:t>
            </w:r>
            <w:r>
              <w:rPr>
                <w:color w:val="000000"/>
              </w:rPr>
              <w:t>aths</w:t>
            </w:r>
            <w:proofErr w:type="spellEnd"/>
            <w:r>
              <w:rPr>
                <w:color w:val="000000"/>
              </w:rPr>
              <w:t xml:space="preserve"> (or equivalent) is strongly recommended.  </w:t>
            </w:r>
          </w:p>
          <w:p w14:paraId="047BEF45" w14:textId="77777777" w:rsidR="00C71E62" w:rsidRDefault="00000000">
            <w:pPr>
              <w:numPr>
                <w:ilvl w:val="0"/>
                <w:numId w:val="5"/>
              </w:numPr>
              <w:pBdr>
                <w:top w:val="nil"/>
                <w:left w:val="nil"/>
                <w:bottom w:val="nil"/>
                <w:right w:val="nil"/>
                <w:between w:val="nil"/>
              </w:pBdr>
              <w:rPr>
                <w:color w:val="000000"/>
              </w:rPr>
            </w:pPr>
            <w:r>
              <w:rPr>
                <w:color w:val="000000"/>
              </w:rPr>
              <w:t xml:space="preserve">A BTEC Level 3 qualification in a Sport related programme - </w:t>
            </w:r>
            <w:r>
              <w:t>MPP (or equivalent) </w:t>
            </w:r>
          </w:p>
          <w:p w14:paraId="2196D5FA" w14:textId="77777777" w:rsidR="00C71E62" w:rsidRDefault="00000000">
            <w:pPr>
              <w:numPr>
                <w:ilvl w:val="0"/>
                <w:numId w:val="5"/>
              </w:numPr>
              <w:pBdr>
                <w:top w:val="nil"/>
                <w:left w:val="nil"/>
                <w:bottom w:val="nil"/>
                <w:right w:val="nil"/>
                <w:between w:val="nil"/>
              </w:pBdr>
              <w:rPr>
                <w:color w:val="000000"/>
              </w:rPr>
            </w:pPr>
            <w:r>
              <w:rPr>
                <w:color w:val="000000"/>
              </w:rPr>
              <w:t xml:space="preserve">A Levels – </w:t>
            </w:r>
            <w:r>
              <w:t>CDD</w:t>
            </w:r>
            <w:r>
              <w:rPr>
                <w:color w:val="000000"/>
              </w:rPr>
              <w:t xml:space="preserve"> (or equivalent)  </w:t>
            </w:r>
          </w:p>
          <w:p w14:paraId="329B9C3B" w14:textId="77777777" w:rsidR="00C71E62" w:rsidRDefault="00000000">
            <w:pPr>
              <w:numPr>
                <w:ilvl w:val="0"/>
                <w:numId w:val="5"/>
              </w:numPr>
            </w:pPr>
            <w:r>
              <w:t>Level 3 Apprenticeship</w:t>
            </w:r>
          </w:p>
          <w:p w14:paraId="16C5570E" w14:textId="77777777" w:rsidR="00C71E62" w:rsidRDefault="00000000">
            <w:pPr>
              <w:numPr>
                <w:ilvl w:val="0"/>
                <w:numId w:val="5"/>
              </w:numPr>
              <w:pBdr>
                <w:top w:val="nil"/>
                <w:left w:val="nil"/>
                <w:bottom w:val="nil"/>
                <w:right w:val="nil"/>
                <w:between w:val="nil"/>
              </w:pBdr>
              <w:rPr>
                <w:color w:val="000000"/>
              </w:rPr>
            </w:pPr>
            <w:r>
              <w:rPr>
                <w:color w:val="000000"/>
              </w:rPr>
              <w:t>Other related Level 3 qualifications  </w:t>
            </w:r>
          </w:p>
          <w:p w14:paraId="2BA982D6" w14:textId="77777777" w:rsidR="00C71E62" w:rsidRDefault="00000000">
            <w:pPr>
              <w:numPr>
                <w:ilvl w:val="0"/>
                <w:numId w:val="5"/>
              </w:numPr>
              <w:pBdr>
                <w:top w:val="nil"/>
                <w:left w:val="nil"/>
                <w:bottom w:val="nil"/>
                <w:right w:val="nil"/>
                <w:between w:val="nil"/>
              </w:pBdr>
              <w:rPr>
                <w:color w:val="000000"/>
              </w:rPr>
            </w:pPr>
            <w:r>
              <w:rPr>
                <w:color w:val="000000"/>
              </w:rPr>
              <w:t>An Access to Higher Education Certificate awarded by an approved further education institution </w:t>
            </w:r>
          </w:p>
          <w:p w14:paraId="210D21E9" w14:textId="77777777" w:rsidR="00C71E62" w:rsidRDefault="00000000">
            <w:pPr>
              <w:numPr>
                <w:ilvl w:val="0"/>
                <w:numId w:val="5"/>
              </w:numPr>
              <w:pBdr>
                <w:top w:val="nil"/>
                <w:left w:val="nil"/>
                <w:bottom w:val="nil"/>
                <w:right w:val="nil"/>
                <w:between w:val="nil"/>
              </w:pBdr>
              <w:rPr>
                <w:color w:val="000000"/>
              </w:rPr>
            </w:pPr>
            <w:r>
              <w:rPr>
                <w:color w:val="000000"/>
              </w:rPr>
              <w:t>An international equivalent of the above. </w:t>
            </w:r>
          </w:p>
          <w:p w14:paraId="0FDABD24" w14:textId="77777777" w:rsidR="00C71E62" w:rsidRDefault="00000000">
            <w:pPr>
              <w:pBdr>
                <w:top w:val="nil"/>
                <w:left w:val="nil"/>
                <w:bottom w:val="nil"/>
                <w:right w:val="nil"/>
                <w:between w:val="nil"/>
              </w:pBdr>
              <w:rPr>
                <w:color w:val="000000"/>
              </w:rPr>
            </w:pPr>
            <w:r>
              <w:rPr>
                <w:color w:val="000000"/>
              </w:rPr>
              <w:t> </w:t>
            </w:r>
          </w:p>
          <w:p w14:paraId="5596CB38" w14:textId="77777777" w:rsidR="00C71E62" w:rsidRDefault="00000000">
            <w:pPr>
              <w:pBdr>
                <w:top w:val="nil"/>
                <w:left w:val="nil"/>
                <w:bottom w:val="nil"/>
                <w:right w:val="nil"/>
                <w:between w:val="nil"/>
              </w:pBdr>
              <w:rPr>
                <w:color w:val="000000"/>
              </w:rPr>
            </w:pPr>
            <w:r>
              <w:rPr>
                <w:color w:val="000000"/>
              </w:rPr>
              <w:t>We welcome applications from students that do not meet the UCAS entry requirements</w:t>
            </w:r>
            <w:r>
              <w:t xml:space="preserve"> </w:t>
            </w:r>
            <w:r>
              <w:rPr>
                <w:color w:val="000000"/>
              </w:rPr>
              <w:t xml:space="preserve">where special considerations can be given </w:t>
            </w:r>
            <w:r>
              <w:t>to those with relevant experience and skills following evidence of effective academic writing. Along with m</w:t>
            </w:r>
            <w:r>
              <w:rPr>
                <w:color w:val="000000"/>
              </w:rPr>
              <w:t>ature students with a suitable background or related work experience gained within the Sports industry. </w:t>
            </w:r>
          </w:p>
          <w:p w14:paraId="14FF0594" w14:textId="77777777" w:rsidR="00C71E62" w:rsidRDefault="00000000">
            <w:pPr>
              <w:pBdr>
                <w:top w:val="nil"/>
                <w:left w:val="nil"/>
                <w:bottom w:val="nil"/>
                <w:right w:val="nil"/>
                <w:between w:val="nil"/>
              </w:pBdr>
              <w:rPr>
                <w:color w:val="000000"/>
              </w:rPr>
            </w:pPr>
            <w:r>
              <w:rPr>
                <w:color w:val="000000"/>
              </w:rPr>
              <w:t> </w:t>
            </w:r>
          </w:p>
          <w:p w14:paraId="1685B744" w14:textId="77777777" w:rsidR="00C71E62" w:rsidRDefault="00000000">
            <w:pPr>
              <w:pBdr>
                <w:top w:val="nil"/>
                <w:left w:val="nil"/>
                <w:bottom w:val="nil"/>
                <w:right w:val="nil"/>
                <w:between w:val="nil"/>
              </w:pBdr>
              <w:rPr>
                <w:color w:val="000000"/>
              </w:rPr>
            </w:pPr>
            <w:r>
              <w:rPr>
                <w:color w:val="000000"/>
              </w:rPr>
              <w:lastRenderedPageBreak/>
              <w:t>Applicants whose first language is not English must also demonstrate that their level of English is acceptable by achieving a score in a recognised test such as the British Council IELTS; normally a minimum of 5.5 overall with a minimum of 5.5 in the reading and writing components. </w:t>
            </w:r>
          </w:p>
          <w:p w14:paraId="22D45D88" w14:textId="77777777" w:rsidR="00C71E62" w:rsidRDefault="00000000">
            <w:pPr>
              <w:pBdr>
                <w:top w:val="nil"/>
                <w:left w:val="nil"/>
                <w:bottom w:val="nil"/>
                <w:right w:val="nil"/>
                <w:between w:val="nil"/>
              </w:pBdr>
              <w:rPr>
                <w:color w:val="000000"/>
              </w:rPr>
            </w:pPr>
            <w:r>
              <w:rPr>
                <w:color w:val="000000"/>
              </w:rPr>
              <w:t> </w:t>
            </w:r>
          </w:p>
          <w:p w14:paraId="4814FC3A" w14:textId="77777777" w:rsidR="00C71E62" w:rsidRDefault="00000000">
            <w:pPr>
              <w:pBdr>
                <w:top w:val="nil"/>
                <w:left w:val="nil"/>
                <w:bottom w:val="nil"/>
                <w:right w:val="nil"/>
                <w:between w:val="nil"/>
              </w:pBdr>
              <w:rPr>
                <w:color w:val="000000"/>
              </w:rPr>
            </w:pPr>
            <w:r>
              <w:rPr>
                <w:color w:val="000000"/>
              </w:rPr>
              <w:t>All applicants will be interviewed prior to a decision being made. </w:t>
            </w:r>
          </w:p>
          <w:p w14:paraId="681D2465" w14:textId="77777777" w:rsidR="00C71E62" w:rsidRDefault="00C71E62">
            <w:pPr>
              <w:pBdr>
                <w:top w:val="nil"/>
                <w:left w:val="nil"/>
                <w:bottom w:val="nil"/>
                <w:right w:val="nil"/>
                <w:between w:val="nil"/>
              </w:pBdr>
              <w:rPr>
                <w:b/>
                <w:color w:val="000000"/>
              </w:rPr>
            </w:pPr>
          </w:p>
        </w:tc>
      </w:tr>
      <w:tr w:rsidR="00C71E62" w14:paraId="38581AA6" w14:textId="77777777">
        <w:tc>
          <w:tcPr>
            <w:tcW w:w="9010" w:type="dxa"/>
            <w:shd w:val="clear" w:color="auto" w:fill="000000"/>
          </w:tcPr>
          <w:p w14:paraId="3CEF0323" w14:textId="77777777" w:rsidR="00C71E62" w:rsidRDefault="00000000">
            <w:pPr>
              <w:pBdr>
                <w:top w:val="nil"/>
                <w:left w:val="nil"/>
                <w:bottom w:val="nil"/>
                <w:right w:val="nil"/>
                <w:between w:val="nil"/>
              </w:pBdr>
              <w:rPr>
                <w:b/>
                <w:color w:val="FFFFFF"/>
              </w:rPr>
            </w:pPr>
            <w:r>
              <w:rPr>
                <w:b/>
                <w:color w:val="FFFFFF"/>
              </w:rPr>
              <w:lastRenderedPageBreak/>
              <w:t>Preparation for employment and/or further study</w:t>
            </w:r>
          </w:p>
        </w:tc>
      </w:tr>
      <w:tr w:rsidR="00C71E62" w14:paraId="42FD5892" w14:textId="77777777">
        <w:tc>
          <w:tcPr>
            <w:tcW w:w="9010" w:type="dxa"/>
          </w:tcPr>
          <w:p w14:paraId="27033057" w14:textId="77777777" w:rsidR="00C71E62" w:rsidRDefault="00C71E62">
            <w:pPr>
              <w:pBdr>
                <w:top w:val="nil"/>
                <w:left w:val="nil"/>
                <w:bottom w:val="nil"/>
                <w:right w:val="nil"/>
                <w:between w:val="nil"/>
              </w:pBdr>
              <w:rPr>
                <w:color w:val="FF0000"/>
              </w:rPr>
            </w:pPr>
          </w:p>
          <w:p w14:paraId="406251DF" w14:textId="108EBB74" w:rsidR="00C71E62" w:rsidRDefault="00000000">
            <w:r>
              <w:t xml:space="preserve">Through studying on this </w:t>
            </w:r>
            <w:r w:rsidR="002E6CAC">
              <w:t>programme,</w:t>
            </w:r>
            <w:r>
              <w:t xml:space="preserve"> you will have developed skills, knowledge and competence to gain entry-level positions within Coaching and Sport and Exercise Science in the sports industry. You will gain experience in planning and delivering practical </w:t>
            </w:r>
            <w:r w:rsidR="002E6CAC">
              <w:t>coaching and</w:t>
            </w:r>
            <w:r>
              <w:t xml:space="preserve"> have a background knowledge to support the practical skills you will develop.  </w:t>
            </w:r>
          </w:p>
          <w:p w14:paraId="16EBB0CE" w14:textId="77777777" w:rsidR="00C71E62" w:rsidRDefault="00C71E62">
            <w:pPr>
              <w:ind w:left="22"/>
            </w:pPr>
          </w:p>
          <w:p w14:paraId="6AEA8BAD" w14:textId="77777777" w:rsidR="00C71E62" w:rsidRDefault="00000000">
            <w:pPr>
              <w:ind w:left="22"/>
              <w:rPr>
                <w:color w:val="FF0000"/>
              </w:rPr>
            </w:pPr>
            <w:r>
              <w:t>Students who successfully achieve 120 credits on the HNC in Community Coaching will be eligible to progress to the HND in Sport at Activate Learning or progress to another institution depending on entry requirements.</w:t>
            </w:r>
          </w:p>
        </w:tc>
      </w:tr>
    </w:tbl>
    <w:p w14:paraId="0C3BA219" w14:textId="77777777" w:rsidR="00C71E62" w:rsidRDefault="00C71E62">
      <w:pPr>
        <w:pBdr>
          <w:top w:val="nil"/>
          <w:left w:val="nil"/>
          <w:bottom w:val="nil"/>
          <w:right w:val="nil"/>
          <w:between w:val="nil"/>
        </w:pBdr>
        <w:rPr>
          <w:b/>
          <w:sz w:val="22"/>
          <w:szCs w:val="22"/>
        </w:rPr>
      </w:pPr>
    </w:p>
    <w:tbl>
      <w:tblPr>
        <w:tblStyle w:val="af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61067506" w14:textId="77777777">
        <w:tc>
          <w:tcPr>
            <w:tcW w:w="9010" w:type="dxa"/>
            <w:shd w:val="clear" w:color="auto" w:fill="000000"/>
          </w:tcPr>
          <w:p w14:paraId="66C65061" w14:textId="77777777" w:rsidR="00C71E62" w:rsidRDefault="00000000">
            <w:pPr>
              <w:pBdr>
                <w:top w:val="nil"/>
                <w:left w:val="nil"/>
                <w:bottom w:val="nil"/>
                <w:right w:val="nil"/>
                <w:between w:val="nil"/>
              </w:pBdr>
              <w:rPr>
                <w:b/>
                <w:color w:val="FFFFFF"/>
              </w:rPr>
            </w:pPr>
            <w:r>
              <w:rPr>
                <w:b/>
                <w:color w:val="FFFFFF"/>
              </w:rPr>
              <w:t>Methods for Evaluating and Enhancing the Quality and Standards of Teaching and Learning</w:t>
            </w:r>
          </w:p>
        </w:tc>
      </w:tr>
      <w:tr w:rsidR="00C71E62" w14:paraId="629B8433" w14:textId="77777777">
        <w:tc>
          <w:tcPr>
            <w:tcW w:w="9010" w:type="dxa"/>
          </w:tcPr>
          <w:p w14:paraId="4FC45493" w14:textId="77777777" w:rsidR="00C71E62" w:rsidRDefault="00000000">
            <w:pPr>
              <w:numPr>
                <w:ilvl w:val="0"/>
                <w:numId w:val="12"/>
              </w:numPr>
              <w:pBdr>
                <w:top w:val="nil"/>
                <w:left w:val="nil"/>
                <w:bottom w:val="nil"/>
                <w:right w:val="nil"/>
                <w:between w:val="nil"/>
              </w:pBdr>
            </w:pPr>
            <w:r>
              <w:rPr>
                <w:color w:val="000000"/>
              </w:rPr>
              <w:t xml:space="preserve">Student module evaluations </w:t>
            </w:r>
          </w:p>
          <w:p w14:paraId="39ED6CBC" w14:textId="77777777" w:rsidR="00C71E62" w:rsidRDefault="00000000">
            <w:pPr>
              <w:numPr>
                <w:ilvl w:val="0"/>
                <w:numId w:val="12"/>
              </w:numPr>
              <w:pBdr>
                <w:top w:val="nil"/>
                <w:left w:val="nil"/>
                <w:bottom w:val="nil"/>
                <w:right w:val="nil"/>
                <w:between w:val="nil"/>
              </w:pBdr>
            </w:pPr>
            <w:r>
              <w:rPr>
                <w:color w:val="000000"/>
              </w:rPr>
              <w:t>Annual programme and module monitoring reports</w:t>
            </w:r>
          </w:p>
          <w:p w14:paraId="64714043" w14:textId="77777777" w:rsidR="00C71E62" w:rsidRDefault="00000000">
            <w:pPr>
              <w:numPr>
                <w:ilvl w:val="0"/>
                <w:numId w:val="12"/>
              </w:numPr>
              <w:pBdr>
                <w:top w:val="nil"/>
                <w:left w:val="nil"/>
                <w:bottom w:val="nil"/>
                <w:right w:val="nil"/>
                <w:between w:val="nil"/>
              </w:pBdr>
            </w:pPr>
            <w:r>
              <w:rPr>
                <w:color w:val="000000"/>
              </w:rPr>
              <w:t>External Examiners review</w:t>
            </w:r>
          </w:p>
          <w:p w14:paraId="67BB2D9E" w14:textId="77777777" w:rsidR="00C71E62" w:rsidRDefault="00000000">
            <w:pPr>
              <w:numPr>
                <w:ilvl w:val="0"/>
                <w:numId w:val="12"/>
              </w:numPr>
              <w:pBdr>
                <w:top w:val="nil"/>
                <w:left w:val="nil"/>
                <w:bottom w:val="nil"/>
                <w:right w:val="nil"/>
                <w:between w:val="nil"/>
              </w:pBdr>
            </w:pPr>
            <w:r>
              <w:rPr>
                <w:color w:val="000000"/>
              </w:rPr>
              <w:t>Periodic programme review</w:t>
            </w:r>
          </w:p>
          <w:p w14:paraId="12D1FA17" w14:textId="77777777" w:rsidR="00C71E62" w:rsidRDefault="00000000">
            <w:pPr>
              <w:numPr>
                <w:ilvl w:val="0"/>
                <w:numId w:val="12"/>
              </w:numPr>
              <w:pBdr>
                <w:top w:val="nil"/>
                <w:left w:val="nil"/>
                <w:bottom w:val="nil"/>
                <w:right w:val="nil"/>
                <w:between w:val="nil"/>
              </w:pBdr>
            </w:pPr>
            <w:r>
              <w:rPr>
                <w:color w:val="000000"/>
              </w:rPr>
              <w:t>Annual staff appraisals</w:t>
            </w:r>
          </w:p>
          <w:p w14:paraId="1C740938" w14:textId="77777777" w:rsidR="00C71E62" w:rsidRDefault="00000000">
            <w:pPr>
              <w:numPr>
                <w:ilvl w:val="0"/>
                <w:numId w:val="12"/>
              </w:numPr>
              <w:pBdr>
                <w:top w:val="nil"/>
                <w:left w:val="nil"/>
                <w:bottom w:val="nil"/>
                <w:right w:val="nil"/>
                <w:between w:val="nil"/>
              </w:pBdr>
            </w:pPr>
            <w:r>
              <w:rPr>
                <w:color w:val="000000"/>
              </w:rPr>
              <w:t xml:space="preserve">Peer observations </w:t>
            </w:r>
          </w:p>
          <w:p w14:paraId="2A925A0C" w14:textId="77777777" w:rsidR="00C71E62" w:rsidRDefault="00000000">
            <w:pPr>
              <w:numPr>
                <w:ilvl w:val="0"/>
                <w:numId w:val="12"/>
              </w:numPr>
              <w:pBdr>
                <w:top w:val="nil"/>
                <w:left w:val="nil"/>
                <w:bottom w:val="nil"/>
                <w:right w:val="nil"/>
                <w:between w:val="nil"/>
              </w:pBdr>
            </w:pPr>
            <w:r>
              <w:rPr>
                <w:color w:val="000000"/>
              </w:rPr>
              <w:t>Quality Assurance Framework</w:t>
            </w:r>
          </w:p>
          <w:p w14:paraId="4B955ABF" w14:textId="77777777" w:rsidR="00C71E62" w:rsidRDefault="00000000">
            <w:pPr>
              <w:numPr>
                <w:ilvl w:val="0"/>
                <w:numId w:val="12"/>
              </w:numPr>
              <w:pBdr>
                <w:top w:val="nil"/>
                <w:left w:val="nil"/>
                <w:bottom w:val="nil"/>
                <w:right w:val="nil"/>
                <w:between w:val="nil"/>
              </w:pBdr>
            </w:pPr>
            <w:r>
              <w:rPr>
                <w:color w:val="000000"/>
              </w:rPr>
              <w:t xml:space="preserve">Office for Students </w:t>
            </w:r>
          </w:p>
          <w:p w14:paraId="3BC729CD" w14:textId="77777777" w:rsidR="00C71E62" w:rsidRDefault="00C71E62">
            <w:pPr>
              <w:pBdr>
                <w:top w:val="nil"/>
                <w:left w:val="nil"/>
                <w:bottom w:val="nil"/>
                <w:right w:val="nil"/>
                <w:between w:val="nil"/>
              </w:pBdr>
              <w:rPr>
                <w:b/>
                <w:color w:val="000000"/>
              </w:rPr>
            </w:pPr>
          </w:p>
        </w:tc>
      </w:tr>
      <w:tr w:rsidR="00C71E62" w14:paraId="34FA6FE2" w14:textId="77777777">
        <w:tc>
          <w:tcPr>
            <w:tcW w:w="9010" w:type="dxa"/>
            <w:shd w:val="clear" w:color="auto" w:fill="000000"/>
          </w:tcPr>
          <w:p w14:paraId="032B737F" w14:textId="77777777" w:rsidR="00C71E62" w:rsidRDefault="00000000">
            <w:pPr>
              <w:pBdr>
                <w:top w:val="nil"/>
                <w:left w:val="nil"/>
                <w:bottom w:val="nil"/>
                <w:right w:val="nil"/>
                <w:between w:val="nil"/>
              </w:pBdr>
              <w:rPr>
                <w:b/>
                <w:color w:val="FFFFFF"/>
              </w:rPr>
            </w:pPr>
            <w:r>
              <w:rPr>
                <w:b/>
                <w:color w:val="FFFFFF"/>
              </w:rPr>
              <w:t>Committees with responsibility for monitoring and evaluating quality and standards</w:t>
            </w:r>
          </w:p>
        </w:tc>
      </w:tr>
      <w:tr w:rsidR="00C71E62" w14:paraId="588A671F" w14:textId="77777777">
        <w:tc>
          <w:tcPr>
            <w:tcW w:w="9010" w:type="dxa"/>
          </w:tcPr>
          <w:p w14:paraId="06A2F30B" w14:textId="77777777" w:rsidR="00C71E62" w:rsidRDefault="00000000">
            <w:pPr>
              <w:pBdr>
                <w:top w:val="nil"/>
                <w:left w:val="nil"/>
                <w:bottom w:val="nil"/>
                <w:right w:val="nil"/>
                <w:between w:val="nil"/>
              </w:pBdr>
              <w:rPr>
                <w:color w:val="000000"/>
              </w:rPr>
            </w:pPr>
            <w:r>
              <w:rPr>
                <w:color w:val="000000"/>
              </w:rPr>
              <w:t xml:space="preserve">HE Committees/Boards at Activate Learning: </w:t>
            </w:r>
          </w:p>
          <w:p w14:paraId="3452B17B" w14:textId="77777777" w:rsidR="00C71E62" w:rsidRDefault="00C71E62">
            <w:pPr>
              <w:pBdr>
                <w:top w:val="nil"/>
                <w:left w:val="nil"/>
                <w:bottom w:val="nil"/>
                <w:right w:val="nil"/>
                <w:between w:val="nil"/>
              </w:pBdr>
              <w:rPr>
                <w:color w:val="000000"/>
              </w:rPr>
            </w:pPr>
          </w:p>
          <w:p w14:paraId="636F9645" w14:textId="77777777" w:rsidR="00C71E62" w:rsidRDefault="00000000">
            <w:pPr>
              <w:numPr>
                <w:ilvl w:val="0"/>
                <w:numId w:val="1"/>
              </w:numPr>
              <w:pBdr>
                <w:top w:val="nil"/>
                <w:left w:val="nil"/>
                <w:bottom w:val="nil"/>
                <w:right w:val="nil"/>
                <w:between w:val="nil"/>
              </w:pBdr>
            </w:pPr>
            <w:r>
              <w:rPr>
                <w:color w:val="000000"/>
              </w:rPr>
              <w:t xml:space="preserve">Programme Committee </w:t>
            </w:r>
          </w:p>
          <w:p w14:paraId="4AE4C60F" w14:textId="77777777" w:rsidR="00C71E62" w:rsidRDefault="00000000">
            <w:pPr>
              <w:numPr>
                <w:ilvl w:val="0"/>
                <w:numId w:val="1"/>
              </w:numPr>
              <w:pBdr>
                <w:top w:val="nil"/>
                <w:left w:val="nil"/>
                <w:bottom w:val="nil"/>
                <w:right w:val="nil"/>
                <w:between w:val="nil"/>
              </w:pBdr>
            </w:pPr>
            <w:r>
              <w:rPr>
                <w:color w:val="000000"/>
              </w:rPr>
              <w:t xml:space="preserve">Faculty Improvement Boards </w:t>
            </w:r>
          </w:p>
          <w:p w14:paraId="458F03FE" w14:textId="77777777" w:rsidR="00C71E62" w:rsidRDefault="00000000">
            <w:pPr>
              <w:numPr>
                <w:ilvl w:val="0"/>
                <w:numId w:val="1"/>
              </w:numPr>
              <w:pBdr>
                <w:top w:val="nil"/>
                <w:left w:val="nil"/>
                <w:bottom w:val="nil"/>
                <w:right w:val="nil"/>
                <w:between w:val="nil"/>
              </w:pBdr>
            </w:pPr>
            <w:r>
              <w:rPr>
                <w:color w:val="000000"/>
              </w:rPr>
              <w:t>Higher National Assessment Board</w:t>
            </w:r>
          </w:p>
          <w:p w14:paraId="1A98F93F" w14:textId="77777777" w:rsidR="00C71E62" w:rsidRDefault="00000000">
            <w:pPr>
              <w:numPr>
                <w:ilvl w:val="0"/>
                <w:numId w:val="1"/>
              </w:numPr>
              <w:pBdr>
                <w:top w:val="nil"/>
                <w:left w:val="nil"/>
                <w:bottom w:val="nil"/>
                <w:right w:val="nil"/>
                <w:between w:val="nil"/>
              </w:pBdr>
            </w:pPr>
            <w:r>
              <w:rPr>
                <w:color w:val="000000"/>
              </w:rPr>
              <w:t>Quality and Consistency Committee</w:t>
            </w:r>
          </w:p>
          <w:p w14:paraId="799EB4C8" w14:textId="77777777" w:rsidR="00C71E62" w:rsidRDefault="00C71E62">
            <w:pPr>
              <w:pBdr>
                <w:top w:val="nil"/>
                <w:left w:val="nil"/>
                <w:bottom w:val="nil"/>
                <w:right w:val="nil"/>
                <w:between w:val="nil"/>
              </w:pBdr>
              <w:rPr>
                <w:color w:val="000000"/>
              </w:rPr>
            </w:pPr>
          </w:p>
        </w:tc>
      </w:tr>
      <w:tr w:rsidR="00C71E62" w14:paraId="18D88CA2" w14:textId="77777777">
        <w:tc>
          <w:tcPr>
            <w:tcW w:w="9010" w:type="dxa"/>
            <w:shd w:val="clear" w:color="auto" w:fill="000000"/>
          </w:tcPr>
          <w:p w14:paraId="50A303E0" w14:textId="77777777" w:rsidR="00C71E62" w:rsidRDefault="00000000">
            <w:pPr>
              <w:pBdr>
                <w:top w:val="nil"/>
                <w:left w:val="nil"/>
                <w:bottom w:val="nil"/>
                <w:right w:val="nil"/>
                <w:between w:val="nil"/>
              </w:pBdr>
              <w:rPr>
                <w:b/>
                <w:color w:val="FFFFFF"/>
              </w:rPr>
            </w:pPr>
            <w:r>
              <w:rPr>
                <w:b/>
                <w:color w:val="FFFFFF"/>
              </w:rPr>
              <w:t>Mechanisms for gaining student feedback on the quality of teaching and their learning experience</w:t>
            </w:r>
          </w:p>
        </w:tc>
      </w:tr>
      <w:tr w:rsidR="00C71E62" w14:paraId="561B979D" w14:textId="77777777">
        <w:tc>
          <w:tcPr>
            <w:tcW w:w="9010" w:type="dxa"/>
          </w:tcPr>
          <w:p w14:paraId="4697D7AD" w14:textId="77777777" w:rsidR="00C71E62" w:rsidRDefault="00000000">
            <w:pPr>
              <w:numPr>
                <w:ilvl w:val="0"/>
                <w:numId w:val="7"/>
              </w:numPr>
              <w:pBdr>
                <w:top w:val="nil"/>
                <w:left w:val="nil"/>
                <w:bottom w:val="nil"/>
                <w:right w:val="nil"/>
                <w:between w:val="nil"/>
              </w:pBdr>
            </w:pPr>
            <w:r>
              <w:rPr>
                <w:color w:val="000000"/>
              </w:rPr>
              <w:t>NSS survey</w:t>
            </w:r>
          </w:p>
          <w:p w14:paraId="4A39E3DC" w14:textId="77777777" w:rsidR="00C71E62" w:rsidRDefault="00000000">
            <w:pPr>
              <w:numPr>
                <w:ilvl w:val="0"/>
                <w:numId w:val="7"/>
              </w:numPr>
              <w:pBdr>
                <w:top w:val="nil"/>
                <w:left w:val="nil"/>
                <w:bottom w:val="nil"/>
                <w:right w:val="nil"/>
                <w:between w:val="nil"/>
              </w:pBdr>
            </w:pPr>
            <w:r>
              <w:rPr>
                <w:color w:val="000000"/>
              </w:rPr>
              <w:t xml:space="preserve">Internal student satisfaction surveys </w:t>
            </w:r>
          </w:p>
          <w:p w14:paraId="29E74ADC" w14:textId="77777777" w:rsidR="00C71E62" w:rsidRDefault="00000000">
            <w:pPr>
              <w:numPr>
                <w:ilvl w:val="0"/>
                <w:numId w:val="7"/>
              </w:numPr>
              <w:pBdr>
                <w:top w:val="nil"/>
                <w:left w:val="nil"/>
                <w:bottom w:val="nil"/>
                <w:right w:val="nil"/>
                <w:between w:val="nil"/>
              </w:pBdr>
            </w:pPr>
            <w:r>
              <w:rPr>
                <w:color w:val="000000"/>
              </w:rPr>
              <w:t>Student complaints procedure</w:t>
            </w:r>
          </w:p>
          <w:p w14:paraId="292FAEE4" w14:textId="77777777" w:rsidR="00C71E62" w:rsidRDefault="00000000">
            <w:pPr>
              <w:numPr>
                <w:ilvl w:val="0"/>
                <w:numId w:val="7"/>
              </w:numPr>
              <w:pBdr>
                <w:top w:val="nil"/>
                <w:left w:val="nil"/>
                <w:bottom w:val="nil"/>
                <w:right w:val="nil"/>
                <w:between w:val="nil"/>
              </w:pBdr>
            </w:pPr>
            <w:r>
              <w:rPr>
                <w:color w:val="000000"/>
              </w:rPr>
              <w:t>Academic appeals procedure</w:t>
            </w:r>
          </w:p>
          <w:p w14:paraId="255539EB" w14:textId="77777777" w:rsidR="00C71E62" w:rsidRDefault="00000000">
            <w:pPr>
              <w:numPr>
                <w:ilvl w:val="0"/>
                <w:numId w:val="7"/>
              </w:numPr>
              <w:pBdr>
                <w:top w:val="nil"/>
                <w:left w:val="nil"/>
                <w:bottom w:val="nil"/>
                <w:right w:val="nil"/>
                <w:between w:val="nil"/>
              </w:pBdr>
            </w:pPr>
            <w:r>
              <w:rPr>
                <w:color w:val="000000"/>
              </w:rPr>
              <w:t>Programme Committees</w:t>
            </w:r>
          </w:p>
          <w:p w14:paraId="519BC516" w14:textId="77777777" w:rsidR="00C71E62" w:rsidRDefault="00000000">
            <w:pPr>
              <w:numPr>
                <w:ilvl w:val="0"/>
                <w:numId w:val="7"/>
              </w:numPr>
              <w:pBdr>
                <w:top w:val="nil"/>
                <w:left w:val="nil"/>
                <w:bottom w:val="nil"/>
                <w:right w:val="nil"/>
                <w:between w:val="nil"/>
              </w:pBdr>
            </w:pPr>
            <w:r>
              <w:rPr>
                <w:color w:val="000000"/>
              </w:rPr>
              <w:t xml:space="preserve">Student module evaluations </w:t>
            </w:r>
          </w:p>
          <w:p w14:paraId="5FE4B93A" w14:textId="77777777" w:rsidR="00C71E62" w:rsidRDefault="00000000">
            <w:pPr>
              <w:numPr>
                <w:ilvl w:val="0"/>
                <w:numId w:val="7"/>
              </w:numPr>
              <w:pBdr>
                <w:top w:val="nil"/>
                <w:left w:val="nil"/>
                <w:bottom w:val="nil"/>
                <w:right w:val="nil"/>
                <w:between w:val="nil"/>
              </w:pBdr>
            </w:pPr>
            <w:r>
              <w:rPr>
                <w:color w:val="000000"/>
              </w:rPr>
              <w:t>Student representation system</w:t>
            </w:r>
          </w:p>
          <w:p w14:paraId="64A2D6E9" w14:textId="77777777" w:rsidR="00C71E62" w:rsidRDefault="00C71E62">
            <w:pPr>
              <w:pBdr>
                <w:top w:val="nil"/>
                <w:left w:val="nil"/>
                <w:bottom w:val="nil"/>
                <w:right w:val="nil"/>
                <w:between w:val="nil"/>
              </w:pBdr>
              <w:rPr>
                <w:b/>
                <w:color w:val="000000"/>
              </w:rPr>
            </w:pPr>
          </w:p>
        </w:tc>
      </w:tr>
      <w:tr w:rsidR="00C71E62" w14:paraId="00D83168" w14:textId="77777777">
        <w:tc>
          <w:tcPr>
            <w:tcW w:w="9010" w:type="dxa"/>
            <w:shd w:val="clear" w:color="auto" w:fill="000000"/>
          </w:tcPr>
          <w:p w14:paraId="7B943C3F" w14:textId="77777777" w:rsidR="00C71E62" w:rsidRDefault="00000000">
            <w:pPr>
              <w:pBdr>
                <w:top w:val="nil"/>
                <w:left w:val="nil"/>
                <w:bottom w:val="nil"/>
                <w:right w:val="nil"/>
                <w:between w:val="nil"/>
              </w:pBdr>
              <w:rPr>
                <w:b/>
                <w:color w:val="FFFFFF"/>
              </w:rPr>
            </w:pPr>
            <w:r>
              <w:rPr>
                <w:b/>
                <w:color w:val="FFFFFF"/>
              </w:rPr>
              <w:t>Indicators of Quality and Standards</w:t>
            </w:r>
          </w:p>
        </w:tc>
      </w:tr>
      <w:tr w:rsidR="00C71E62" w14:paraId="22D4A74D" w14:textId="77777777">
        <w:tc>
          <w:tcPr>
            <w:tcW w:w="9010" w:type="dxa"/>
          </w:tcPr>
          <w:p w14:paraId="00EC0148" w14:textId="77777777" w:rsidR="00C71E62" w:rsidRDefault="00000000">
            <w:pPr>
              <w:numPr>
                <w:ilvl w:val="0"/>
                <w:numId w:val="9"/>
              </w:numPr>
              <w:pBdr>
                <w:top w:val="nil"/>
                <w:left w:val="nil"/>
                <w:bottom w:val="nil"/>
                <w:right w:val="nil"/>
                <w:between w:val="nil"/>
              </w:pBdr>
            </w:pPr>
            <w:r>
              <w:rPr>
                <w:color w:val="000000"/>
              </w:rPr>
              <w:t xml:space="preserve">Annual External Examiner reports </w:t>
            </w:r>
          </w:p>
          <w:p w14:paraId="78F9D7DC" w14:textId="77777777" w:rsidR="00C71E62" w:rsidRDefault="00000000">
            <w:pPr>
              <w:numPr>
                <w:ilvl w:val="0"/>
                <w:numId w:val="9"/>
              </w:numPr>
              <w:pBdr>
                <w:top w:val="nil"/>
                <w:left w:val="nil"/>
                <w:bottom w:val="nil"/>
                <w:right w:val="nil"/>
                <w:between w:val="nil"/>
              </w:pBdr>
            </w:pPr>
            <w:r>
              <w:rPr>
                <w:color w:val="000000"/>
              </w:rPr>
              <w:t>Annual programme monitoring reports</w:t>
            </w:r>
          </w:p>
          <w:p w14:paraId="23DAFACF" w14:textId="77777777" w:rsidR="00C71E62" w:rsidRDefault="00000000">
            <w:pPr>
              <w:numPr>
                <w:ilvl w:val="0"/>
                <w:numId w:val="9"/>
              </w:numPr>
              <w:pBdr>
                <w:top w:val="nil"/>
                <w:left w:val="nil"/>
                <w:bottom w:val="nil"/>
                <w:right w:val="nil"/>
                <w:between w:val="nil"/>
              </w:pBdr>
            </w:pPr>
            <w:r>
              <w:rPr>
                <w:color w:val="000000"/>
              </w:rPr>
              <w:t>Annual programme quality statement</w:t>
            </w:r>
          </w:p>
        </w:tc>
      </w:tr>
    </w:tbl>
    <w:p w14:paraId="5322EF1E" w14:textId="77777777" w:rsidR="00C71E62" w:rsidRDefault="00C71E62"/>
    <w:tbl>
      <w:tblPr>
        <w:tblStyle w:val="af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C71E62" w14:paraId="6521C66F" w14:textId="77777777">
        <w:trPr>
          <w:tblHeader/>
        </w:trPr>
        <w:tc>
          <w:tcPr>
            <w:tcW w:w="9010" w:type="dxa"/>
            <w:shd w:val="clear" w:color="auto" w:fill="000000"/>
          </w:tcPr>
          <w:p w14:paraId="7E3C29F0" w14:textId="77777777" w:rsidR="00C71E62" w:rsidRDefault="00000000">
            <w:pPr>
              <w:pBdr>
                <w:top w:val="nil"/>
                <w:left w:val="nil"/>
                <w:bottom w:val="nil"/>
                <w:right w:val="nil"/>
                <w:between w:val="nil"/>
              </w:pBdr>
              <w:rPr>
                <w:b/>
                <w:color w:val="FFFFFF"/>
              </w:rPr>
            </w:pPr>
            <w:r>
              <w:rPr>
                <w:b/>
                <w:color w:val="FFFFFF"/>
              </w:rPr>
              <w:t>Study Costs</w:t>
            </w:r>
          </w:p>
        </w:tc>
      </w:tr>
      <w:tr w:rsidR="00C71E62" w14:paraId="2B52BFE5" w14:textId="77777777">
        <w:tc>
          <w:tcPr>
            <w:tcW w:w="9010" w:type="dxa"/>
          </w:tcPr>
          <w:p w14:paraId="5BC6800A" w14:textId="77777777" w:rsidR="00C71E62" w:rsidRDefault="00C71E62">
            <w:pPr>
              <w:pBdr>
                <w:top w:val="nil"/>
                <w:left w:val="nil"/>
                <w:bottom w:val="nil"/>
                <w:right w:val="nil"/>
                <w:between w:val="nil"/>
              </w:pBdr>
              <w:rPr>
                <w:color w:val="000000"/>
              </w:rPr>
            </w:pPr>
          </w:p>
          <w:p w14:paraId="692AF92A" w14:textId="77777777" w:rsidR="00C71E62" w:rsidRDefault="00000000">
            <w:pPr>
              <w:pBdr>
                <w:top w:val="nil"/>
                <w:left w:val="nil"/>
                <w:bottom w:val="nil"/>
                <w:right w:val="nil"/>
                <w:between w:val="nil"/>
              </w:pBdr>
            </w:pPr>
            <w:r>
              <w:rPr>
                <w:color w:val="000000"/>
              </w:rPr>
              <w:lastRenderedPageBreak/>
              <w:t xml:space="preserve">Students are advised that they will need access to a laptop or PC with a camera and microphone functionality. </w:t>
            </w:r>
            <w:r>
              <w:t xml:space="preserve">A student </w:t>
            </w:r>
            <w:proofErr w:type="spellStart"/>
            <w:r>
              <w:t>microsoft</w:t>
            </w:r>
            <w:proofErr w:type="spellEnd"/>
            <w:r>
              <w:t xml:space="preserve"> package (free to download online) and use of Google suite is required. </w:t>
            </w:r>
          </w:p>
          <w:p w14:paraId="30A5B1ED" w14:textId="77777777" w:rsidR="00C71E62" w:rsidRDefault="00C71E62">
            <w:pPr>
              <w:pBdr>
                <w:top w:val="nil"/>
                <w:left w:val="nil"/>
                <w:bottom w:val="nil"/>
                <w:right w:val="nil"/>
                <w:between w:val="nil"/>
              </w:pBdr>
            </w:pPr>
          </w:p>
          <w:p w14:paraId="5FA799A0" w14:textId="77777777" w:rsidR="00C71E62" w:rsidRDefault="00000000">
            <w:pPr>
              <w:rPr>
                <w:color w:val="FF0000"/>
                <w:highlight w:val="yellow"/>
              </w:rPr>
            </w:pPr>
            <w:r>
              <w:t>It is recommended to budget £50 a year for additional costs such as for stationery to undertake their studies. The online library allows access to textbooks and academic journals from the recommended reading lists.</w:t>
            </w:r>
          </w:p>
          <w:p w14:paraId="3BBD88BC" w14:textId="77777777" w:rsidR="00C71E62" w:rsidRDefault="00C71E62">
            <w:pPr>
              <w:rPr>
                <w:color w:val="FF0000"/>
              </w:rPr>
            </w:pPr>
          </w:p>
          <w:p w14:paraId="71336691" w14:textId="3A6FD697" w:rsidR="00C71E62" w:rsidRDefault="00000000">
            <w:r>
              <w:t xml:space="preserve">Due to the nature of the compulsory </w:t>
            </w:r>
            <w:r w:rsidR="002E6CAC">
              <w:t>face-to-face</w:t>
            </w:r>
            <w:r>
              <w:t xml:space="preserve"> delivery in</w:t>
            </w:r>
            <w:r>
              <w:rPr>
                <w:color w:val="FF0000"/>
              </w:rPr>
              <w:t xml:space="preserve"> </w:t>
            </w:r>
            <w:r>
              <w:t xml:space="preserve">three, </w:t>
            </w:r>
            <w:r w:rsidR="00C044A7">
              <w:t>one-week</w:t>
            </w:r>
            <w:r>
              <w:t xml:space="preserve"> blocks of in-person attendance, the cost of your travel (up to £150) and accommodation will be covered by VLUK (both subject to the UCS expenses criteria). </w:t>
            </w:r>
            <w:r w:rsidR="002E6CAC">
              <w:t>However,</w:t>
            </w:r>
            <w:r>
              <w:t xml:space="preserve"> you will be required to allocate yourself a budget for meals during this time. Depending on your own personal budget, an allocation of up to £100 per </w:t>
            </w:r>
            <w:r w:rsidR="00791A91">
              <w:t>week</w:t>
            </w:r>
            <w:r>
              <w:t xml:space="preserve"> will be provided to cover this cost.</w:t>
            </w:r>
          </w:p>
          <w:p w14:paraId="5BF2B372" w14:textId="77777777" w:rsidR="00C71E62" w:rsidRDefault="00C71E62"/>
          <w:p w14:paraId="08DB167A" w14:textId="77777777" w:rsidR="00C71E62" w:rsidRDefault="00000000">
            <w:pPr>
              <w:rPr>
                <w:highlight w:val="yellow"/>
              </w:rPr>
            </w:pPr>
            <w:r>
              <w:t xml:space="preserve">As part of the HE programmes that UCS offer, there are two pathways that students have the option to follow, these include Education and Training where a Level 3 and 4 BTEC in Education and Training can be completed or Personal Training where a Level 2 and 3 Personal Training Award can be completed alongside the HE study programme. By choosing either of these routes, travel and accommodation expenses on the face-to-face weeks within the HE programmes will not be reimbursed. </w:t>
            </w:r>
          </w:p>
          <w:p w14:paraId="57F9F5AD" w14:textId="77777777" w:rsidR="00C71E62" w:rsidRDefault="00C71E62">
            <w:pPr>
              <w:pBdr>
                <w:top w:val="nil"/>
                <w:left w:val="nil"/>
                <w:bottom w:val="nil"/>
                <w:right w:val="nil"/>
                <w:between w:val="nil"/>
              </w:pBdr>
            </w:pPr>
          </w:p>
        </w:tc>
      </w:tr>
      <w:tr w:rsidR="00C71E62" w14:paraId="16F5416F" w14:textId="77777777">
        <w:tc>
          <w:tcPr>
            <w:tcW w:w="9010" w:type="dxa"/>
            <w:shd w:val="clear" w:color="auto" w:fill="000000"/>
          </w:tcPr>
          <w:p w14:paraId="20988A10" w14:textId="77777777" w:rsidR="00C71E62" w:rsidRDefault="00000000">
            <w:pPr>
              <w:pBdr>
                <w:top w:val="nil"/>
                <w:left w:val="nil"/>
                <w:bottom w:val="nil"/>
                <w:right w:val="nil"/>
                <w:between w:val="nil"/>
              </w:pBdr>
              <w:rPr>
                <w:b/>
                <w:color w:val="FFFFFF"/>
              </w:rPr>
            </w:pPr>
            <w:r>
              <w:rPr>
                <w:b/>
                <w:color w:val="FFFFFF"/>
              </w:rPr>
              <w:lastRenderedPageBreak/>
              <w:t>Reference points used in creating this specification</w:t>
            </w:r>
          </w:p>
        </w:tc>
      </w:tr>
      <w:tr w:rsidR="00C71E62" w14:paraId="2729785F" w14:textId="77777777">
        <w:tc>
          <w:tcPr>
            <w:tcW w:w="9010" w:type="dxa"/>
          </w:tcPr>
          <w:p w14:paraId="59DC0CF3" w14:textId="77777777" w:rsidR="00C71E62" w:rsidRDefault="00000000">
            <w:pPr>
              <w:numPr>
                <w:ilvl w:val="0"/>
                <w:numId w:val="10"/>
              </w:numPr>
              <w:pBdr>
                <w:top w:val="nil"/>
                <w:left w:val="nil"/>
                <w:bottom w:val="nil"/>
                <w:right w:val="nil"/>
                <w:between w:val="nil"/>
              </w:pBdr>
            </w:pPr>
            <w:r>
              <w:rPr>
                <w:color w:val="000000"/>
              </w:rPr>
              <w:t>QAA UK Quality Code for Higher Education</w:t>
            </w:r>
          </w:p>
          <w:p w14:paraId="69E9A702" w14:textId="77777777" w:rsidR="00C71E62" w:rsidRDefault="00000000">
            <w:pPr>
              <w:numPr>
                <w:ilvl w:val="0"/>
                <w:numId w:val="10"/>
              </w:numPr>
              <w:pBdr>
                <w:top w:val="nil"/>
                <w:left w:val="nil"/>
                <w:bottom w:val="nil"/>
                <w:right w:val="nil"/>
                <w:between w:val="nil"/>
              </w:pBdr>
            </w:pPr>
            <w:r>
              <w:rPr>
                <w:color w:val="000000"/>
              </w:rPr>
              <w:t>Pearson BTEC Higher Nationals Centre Guide to Quality Assurance and Assessment L4-7</w:t>
            </w:r>
          </w:p>
          <w:p w14:paraId="43B8E4AC" w14:textId="77777777" w:rsidR="00C71E62" w:rsidRDefault="00000000">
            <w:pPr>
              <w:numPr>
                <w:ilvl w:val="0"/>
                <w:numId w:val="10"/>
              </w:numPr>
              <w:pBdr>
                <w:top w:val="nil"/>
                <w:left w:val="nil"/>
                <w:bottom w:val="nil"/>
                <w:right w:val="nil"/>
                <w:between w:val="nil"/>
              </w:pBdr>
            </w:pPr>
            <w:r>
              <w:t>Specification for Higher Nationals Community Coaching for England</w:t>
            </w:r>
          </w:p>
        </w:tc>
      </w:tr>
    </w:tbl>
    <w:p w14:paraId="7CFB9ED6" w14:textId="77777777" w:rsidR="00C71E62" w:rsidRDefault="00C71E62">
      <w:pPr>
        <w:pBdr>
          <w:top w:val="nil"/>
          <w:left w:val="nil"/>
          <w:bottom w:val="nil"/>
          <w:right w:val="nil"/>
          <w:between w:val="nil"/>
        </w:pBdr>
        <w:rPr>
          <w:b/>
          <w:color w:val="000000"/>
          <w:sz w:val="22"/>
          <w:szCs w:val="22"/>
        </w:rPr>
      </w:pPr>
    </w:p>
    <w:sectPr w:rsidR="00C71E62">
      <w:pgSz w:w="11900" w:h="16840"/>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ED08A4BC-3981-46AE-960A-E1412571D417}"/>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2" w:fontKey="{F0E79029-7BD6-4B23-81FD-B8B4EF560197}"/>
    <w:embedItalic r:id="rId3" w:fontKey="{77275858-72F7-4AAB-81A2-EE54F156050B}"/>
  </w:font>
  <w:font w:name="Quattrocento Sans">
    <w:charset w:val="00"/>
    <w:family w:val="swiss"/>
    <w:pitch w:val="variable"/>
    <w:sig w:usb0="800000BF" w:usb1="4000005B" w:usb2="00000000" w:usb3="00000000" w:csb0="00000001" w:csb1="00000000"/>
    <w:embedRegular r:id="rId4" w:fontKey="{1B3E196E-0F00-4766-9CE9-3531193E03D3}"/>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422"/>
    <w:multiLevelType w:val="multilevel"/>
    <w:tmpl w:val="93FC9F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624043"/>
    <w:multiLevelType w:val="multilevel"/>
    <w:tmpl w:val="2ABCF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09449A8"/>
    <w:multiLevelType w:val="multilevel"/>
    <w:tmpl w:val="CF14ADEC"/>
    <w:lvl w:ilvl="0">
      <w:start w:val="1"/>
      <w:numFmt w:val="bullet"/>
      <w:lvlText w:val="●"/>
      <w:lvlJc w:val="left"/>
      <w:pPr>
        <w:ind w:left="742" w:hanging="360"/>
      </w:pPr>
      <w:rPr>
        <w:rFonts w:ascii="Noto Sans Symbols" w:eastAsia="Noto Sans Symbols" w:hAnsi="Noto Sans Symbols" w:cs="Noto Sans Symbol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3" w15:restartNumberingAfterBreak="0">
    <w:nsid w:val="426B560C"/>
    <w:multiLevelType w:val="multilevel"/>
    <w:tmpl w:val="879A99B0"/>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45DB2122"/>
    <w:multiLevelType w:val="multilevel"/>
    <w:tmpl w:val="85404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A22F5A"/>
    <w:multiLevelType w:val="multilevel"/>
    <w:tmpl w:val="84AE69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263042"/>
    <w:multiLevelType w:val="multilevel"/>
    <w:tmpl w:val="3B00DD6C"/>
    <w:lvl w:ilvl="0">
      <w:start w:val="1"/>
      <w:numFmt w:val="bullet"/>
      <w:pStyle w:val="2nd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5B867EA1"/>
    <w:multiLevelType w:val="multilevel"/>
    <w:tmpl w:val="81260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CE347A"/>
    <w:multiLevelType w:val="multilevel"/>
    <w:tmpl w:val="E9D67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481D04"/>
    <w:multiLevelType w:val="multilevel"/>
    <w:tmpl w:val="AA8C6E8C"/>
    <w:lvl w:ilvl="0">
      <w:start w:val="1"/>
      <w:numFmt w:val="bullet"/>
      <w:pStyle w:val="ListParagraph"/>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68E7B6E"/>
    <w:multiLevelType w:val="multilevel"/>
    <w:tmpl w:val="1F44D7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D627ECD"/>
    <w:multiLevelType w:val="multilevel"/>
    <w:tmpl w:val="BC8C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460C03"/>
    <w:multiLevelType w:val="multilevel"/>
    <w:tmpl w:val="1F2C3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386282"/>
    <w:multiLevelType w:val="multilevel"/>
    <w:tmpl w:val="A6A45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33077155">
    <w:abstractNumId w:val="9"/>
  </w:num>
  <w:num w:numId="2" w16cid:durableId="1173686165">
    <w:abstractNumId w:val="6"/>
  </w:num>
  <w:num w:numId="3" w16cid:durableId="310989185">
    <w:abstractNumId w:val="4"/>
  </w:num>
  <w:num w:numId="4" w16cid:durableId="473563351">
    <w:abstractNumId w:val="7"/>
  </w:num>
  <w:num w:numId="5" w16cid:durableId="1813596619">
    <w:abstractNumId w:val="0"/>
  </w:num>
  <w:num w:numId="6" w16cid:durableId="1948732639">
    <w:abstractNumId w:val="2"/>
  </w:num>
  <w:num w:numId="7" w16cid:durableId="1222403119">
    <w:abstractNumId w:val="13"/>
  </w:num>
  <w:num w:numId="8" w16cid:durableId="1742100132">
    <w:abstractNumId w:val="8"/>
  </w:num>
  <w:num w:numId="9" w16cid:durableId="366226804">
    <w:abstractNumId w:val="1"/>
  </w:num>
  <w:num w:numId="10" w16cid:durableId="121071766">
    <w:abstractNumId w:val="11"/>
  </w:num>
  <w:num w:numId="11" w16cid:durableId="280503480">
    <w:abstractNumId w:val="3"/>
  </w:num>
  <w:num w:numId="12" w16cid:durableId="455832374">
    <w:abstractNumId w:val="5"/>
  </w:num>
  <w:num w:numId="13" w16cid:durableId="304244435">
    <w:abstractNumId w:val="10"/>
  </w:num>
  <w:num w:numId="14" w16cid:durableId="792362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62"/>
    <w:rsid w:val="00032855"/>
    <w:rsid w:val="00033FAF"/>
    <w:rsid w:val="0004234F"/>
    <w:rsid w:val="00077D8E"/>
    <w:rsid w:val="000D6836"/>
    <w:rsid w:val="000E4036"/>
    <w:rsid w:val="0023297E"/>
    <w:rsid w:val="002E6CAC"/>
    <w:rsid w:val="003112ED"/>
    <w:rsid w:val="0032431D"/>
    <w:rsid w:val="00380738"/>
    <w:rsid w:val="003F7130"/>
    <w:rsid w:val="00412275"/>
    <w:rsid w:val="00465CD1"/>
    <w:rsid w:val="005C0BFE"/>
    <w:rsid w:val="005C68E8"/>
    <w:rsid w:val="00791A91"/>
    <w:rsid w:val="007B13D4"/>
    <w:rsid w:val="007D585D"/>
    <w:rsid w:val="00955A13"/>
    <w:rsid w:val="00961648"/>
    <w:rsid w:val="009C1926"/>
    <w:rsid w:val="00A25E3F"/>
    <w:rsid w:val="00B3528F"/>
    <w:rsid w:val="00BF77AE"/>
    <w:rsid w:val="00C00E3E"/>
    <w:rsid w:val="00C032AC"/>
    <w:rsid w:val="00C044A7"/>
    <w:rsid w:val="00C71E62"/>
    <w:rsid w:val="00C932EC"/>
    <w:rsid w:val="00E4763A"/>
    <w:rsid w:val="00F27C35"/>
    <w:rsid w:val="3432284F"/>
    <w:rsid w:val="3D157549"/>
    <w:rsid w:val="6BA15B7B"/>
    <w:rsid w:val="77D7B64D"/>
    <w:rsid w:val="7C104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6CA3"/>
  <w15:docId w15:val="{E4249C08-8F28-4748-B012-27EC6DC7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8FB"/>
    <w:pPr>
      <w:keepNext/>
      <w:keepLines/>
      <w:spacing w:after="480"/>
      <w:outlineLvl w:val="0"/>
    </w:pPr>
    <w:rPr>
      <w:rFonts w:eastAsiaTheme="majorEastAsia" w:cstheme="majorBidi"/>
      <w:b/>
      <w:caps/>
      <w:color w:val="000000" w:themeColor="text1"/>
      <w:sz w:val="42"/>
      <w:szCs w:val="32"/>
    </w:rPr>
  </w:style>
  <w:style w:type="paragraph" w:styleId="Heading2">
    <w:name w:val="heading 2"/>
    <w:basedOn w:val="Normal"/>
    <w:next w:val="Normal"/>
    <w:link w:val="Heading2Char"/>
    <w:uiPriority w:val="9"/>
    <w:semiHidden/>
    <w:unhideWhenUsed/>
    <w:qFormat/>
    <w:rsid w:val="00F818FB"/>
    <w:pPr>
      <w:keepNext/>
      <w:keepLines/>
      <w:spacing w:before="240" w:after="240"/>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semiHidden/>
    <w:unhideWhenUsed/>
    <w:qFormat/>
    <w:rsid w:val="005E1F33"/>
    <w:pPr>
      <w:keepNext/>
      <w:keepLines/>
      <w:spacing w:before="40" w:after="120"/>
      <w:outlineLvl w:val="2"/>
    </w:pPr>
    <w:rPr>
      <w:rFonts w:eastAsiaTheme="majorEastAsia" w:cstheme="majorBidi"/>
      <w:b/>
      <w:bCs/>
      <w:color w:val="000000" w:themeColor="text1"/>
      <w:sz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Text1">
    <w:name w:val="Body Text1"/>
    <w:qFormat/>
    <w:rsid w:val="00F818FB"/>
    <w:rPr>
      <w:sz w:val="22"/>
    </w:rPr>
  </w:style>
  <w:style w:type="paragraph" w:styleId="BlockText">
    <w:name w:val="Block Text"/>
    <w:basedOn w:val="Normal"/>
    <w:uiPriority w:val="99"/>
    <w:semiHidden/>
    <w:unhideWhenUsed/>
    <w:rsid w:val="00F818FB"/>
    <w:pPr>
      <w:pBdr>
        <w:top w:val="single" w:sz="2" w:space="10" w:color="00A9BE" w:themeColor="accent1"/>
        <w:left w:val="single" w:sz="2" w:space="10" w:color="00A9BE" w:themeColor="accent1"/>
        <w:bottom w:val="single" w:sz="2" w:space="10" w:color="00A9BE" w:themeColor="accent1"/>
        <w:right w:val="single" w:sz="2" w:space="10" w:color="00A9BE" w:themeColor="accent1"/>
      </w:pBdr>
      <w:ind w:left="1152" w:right="1152"/>
    </w:pPr>
    <w:rPr>
      <w:rFonts w:eastAsiaTheme="minorEastAsia"/>
      <w:i/>
      <w:iCs/>
      <w:color w:val="00A9BE" w:themeColor="accent1"/>
    </w:rPr>
  </w:style>
  <w:style w:type="paragraph" w:styleId="NoSpacing">
    <w:name w:val="No Spacing"/>
    <w:uiPriority w:val="1"/>
    <w:rsid w:val="00F818FB"/>
  </w:style>
  <w:style w:type="character" w:customStyle="1" w:styleId="Heading1Char">
    <w:name w:val="Heading 1 Char"/>
    <w:basedOn w:val="DefaultParagraphFont"/>
    <w:link w:val="Heading1"/>
    <w:uiPriority w:val="9"/>
    <w:rsid w:val="00F818FB"/>
    <w:rPr>
      <w:rFonts w:ascii="Arial" w:eastAsiaTheme="majorEastAsia" w:hAnsi="Arial" w:cstheme="majorBidi"/>
      <w:b/>
      <w:caps/>
      <w:color w:val="000000" w:themeColor="text1"/>
      <w:sz w:val="42"/>
      <w:szCs w:val="32"/>
    </w:rPr>
  </w:style>
  <w:style w:type="character" w:customStyle="1" w:styleId="Heading2Char">
    <w:name w:val="Heading 2 Char"/>
    <w:basedOn w:val="DefaultParagraphFont"/>
    <w:link w:val="Heading2"/>
    <w:uiPriority w:val="9"/>
    <w:rsid w:val="00F818FB"/>
    <w:rPr>
      <w:rFonts w:ascii="Arial" w:eastAsiaTheme="majorEastAsia" w:hAnsi="Arial" w:cstheme="majorBidi"/>
      <w:b/>
      <w:bCs/>
      <w:color w:val="000000" w:themeColor="text1"/>
      <w:sz w:val="32"/>
      <w:szCs w:val="26"/>
    </w:rPr>
  </w:style>
  <w:style w:type="character" w:customStyle="1" w:styleId="Heading3Char">
    <w:name w:val="Heading 3 Char"/>
    <w:basedOn w:val="DefaultParagraphFont"/>
    <w:link w:val="Heading3"/>
    <w:uiPriority w:val="9"/>
    <w:rsid w:val="005E1F33"/>
    <w:rPr>
      <w:rFonts w:ascii="Arial" w:eastAsiaTheme="majorEastAsia" w:hAnsi="Arial" w:cstheme="majorBidi"/>
      <w:b/>
      <w:bCs/>
      <w:color w:val="000000" w:themeColor="text1"/>
      <w:sz w:val="22"/>
    </w:rPr>
  </w:style>
  <w:style w:type="paragraph" w:styleId="ListParagraph">
    <w:name w:val="List Paragraph"/>
    <w:basedOn w:val="Normal"/>
    <w:uiPriority w:val="34"/>
    <w:qFormat/>
    <w:rsid w:val="005E1F33"/>
    <w:pPr>
      <w:numPr>
        <w:numId w:val="1"/>
      </w:numPr>
      <w:contextualSpacing/>
    </w:pPr>
    <w:rPr>
      <w:sz w:val="22"/>
    </w:rPr>
  </w:style>
  <w:style w:type="paragraph" w:customStyle="1" w:styleId="2ndbullet">
    <w:name w:val="2nd bullet"/>
    <w:next w:val="BodyText1"/>
    <w:qFormat/>
    <w:rsid w:val="005E1F33"/>
    <w:pPr>
      <w:numPr>
        <w:numId w:val="2"/>
      </w:numPr>
    </w:pPr>
    <w:rPr>
      <w:sz w:val="22"/>
      <w:lang w:val="en-GB"/>
    </w:rPr>
  </w:style>
  <w:style w:type="table" w:styleId="TableGrid">
    <w:name w:val="Table Grid"/>
    <w:basedOn w:val="TableNormal"/>
    <w:uiPriority w:val="39"/>
    <w:unhideWhenUsed/>
    <w:rsid w:val="00F7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015E"/>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6E015E"/>
  </w:style>
  <w:style w:type="character" w:customStyle="1" w:styleId="eop">
    <w:name w:val="eop"/>
    <w:basedOn w:val="DefaultParagraphFont"/>
    <w:rsid w:val="006E015E"/>
  </w:style>
  <w:style w:type="table" w:customStyle="1" w:styleId="TableGrid1">
    <w:name w:val="Table Grid1"/>
    <w:basedOn w:val="TableNormal"/>
    <w:next w:val="TableGrid"/>
    <w:uiPriority w:val="59"/>
    <w:rsid w:val="00DE3E3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ED1955"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 w:type="table" w:customStyle="1" w:styleId="af0">
    <w:basedOn w:val="TableNormal"/>
    <w:rPr>
      <w:sz w:val="22"/>
      <w:szCs w:val="22"/>
    </w:rPr>
    <w:tblPr>
      <w:tblStyleRowBandSize w:val="1"/>
      <w:tblStyleColBandSize w:val="1"/>
    </w:tblPr>
  </w:style>
  <w:style w:type="table" w:customStyle="1" w:styleId="af1">
    <w:basedOn w:val="TableNormal"/>
    <w:rPr>
      <w:sz w:val="22"/>
      <w:szCs w:val="22"/>
    </w:rPr>
    <w:tblPr>
      <w:tblStyleRowBandSize w:val="1"/>
      <w:tblStyleColBandSize w:val="1"/>
    </w:tblPr>
  </w:style>
  <w:style w:type="table" w:customStyle="1" w:styleId="af2">
    <w:basedOn w:val="TableNormal"/>
    <w:rPr>
      <w:sz w:val="22"/>
      <w:szCs w:val="22"/>
    </w:rPr>
    <w:tblPr>
      <w:tblStyleRowBandSize w:val="1"/>
      <w:tblStyleColBandSize w:val="1"/>
    </w:tblPr>
  </w:style>
  <w:style w:type="table" w:customStyle="1" w:styleId="af3">
    <w:basedOn w:val="TableNormal"/>
    <w:rPr>
      <w:sz w:val="22"/>
      <w:szCs w:val="22"/>
    </w:rPr>
    <w:tblPr>
      <w:tblStyleRowBandSize w:val="1"/>
      <w:tblStyleColBandSize w:val="1"/>
    </w:tblPr>
  </w:style>
  <w:style w:type="table" w:customStyle="1" w:styleId="af4">
    <w:basedOn w:val="TableNormal"/>
    <w:rPr>
      <w:sz w:val="22"/>
      <w:szCs w:val="22"/>
    </w:rPr>
    <w:tblPr>
      <w:tblStyleRowBandSize w:val="1"/>
      <w:tblStyleColBandSize w:val="1"/>
    </w:tblPr>
  </w:style>
  <w:style w:type="table" w:customStyle="1" w:styleId="af5">
    <w:basedOn w:val="TableNormal"/>
    <w:rPr>
      <w:sz w:val="22"/>
      <w:szCs w:val="22"/>
    </w:rPr>
    <w:tblPr>
      <w:tblStyleRowBandSize w:val="1"/>
      <w:tblStyleColBandSize w:val="1"/>
    </w:tblPr>
  </w:style>
  <w:style w:type="table" w:customStyle="1" w:styleId="af6">
    <w:basedOn w:val="TableNormal"/>
    <w:rPr>
      <w:sz w:val="22"/>
      <w:szCs w:val="22"/>
    </w:rPr>
    <w:tblPr>
      <w:tblStyleRowBandSize w:val="1"/>
      <w:tblStyleColBandSize w:val="1"/>
    </w:tblPr>
  </w:style>
  <w:style w:type="table" w:customStyle="1" w:styleId="af7">
    <w:basedOn w:val="TableNormal"/>
    <w:rPr>
      <w:sz w:val="22"/>
      <w:szCs w:val="22"/>
    </w:rPr>
    <w:tblPr>
      <w:tblStyleRowBandSize w:val="1"/>
      <w:tblStyleColBandSize w:val="1"/>
    </w:tblPr>
  </w:style>
  <w:style w:type="table" w:customStyle="1" w:styleId="af8">
    <w:basedOn w:val="TableNormal"/>
    <w:rPr>
      <w:sz w:val="22"/>
      <w:szCs w:val="22"/>
    </w:rPr>
    <w:tblPr>
      <w:tblStyleRowBandSize w:val="1"/>
      <w:tblStyleColBandSize w:val="1"/>
    </w:tblPr>
  </w:style>
  <w:style w:type="table" w:customStyle="1" w:styleId="af9">
    <w:basedOn w:val="TableNormal"/>
    <w:rPr>
      <w:sz w:val="22"/>
      <w:szCs w:val="22"/>
    </w:rPr>
    <w:tblPr>
      <w:tblStyleRowBandSize w:val="1"/>
      <w:tblStyleColBandSize w:val="1"/>
    </w:tblPr>
  </w:style>
  <w:style w:type="table" w:customStyle="1" w:styleId="afa">
    <w:basedOn w:val="TableNormal"/>
    <w:rPr>
      <w:sz w:val="22"/>
      <w:szCs w:val="22"/>
    </w:rPr>
    <w:tblPr>
      <w:tblStyleRowBandSize w:val="1"/>
      <w:tblStyleColBandSize w:val="1"/>
    </w:tblPr>
  </w:style>
  <w:style w:type="table" w:customStyle="1" w:styleId="af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he.activatelearning.ac.uk/educational-gain-model/" TargetMode="External"/><Relationship Id="rId4" Type="http://schemas.openxmlformats.org/officeDocument/2006/relationships/customXml" Target="../customXml/item4.xml"/><Relationship Id="rId9" Type="http://schemas.openxmlformats.org/officeDocument/2006/relationships/image" Target="media/image1.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AL">
      <a:dk1>
        <a:sysClr val="windowText" lastClr="000000"/>
      </a:dk1>
      <a:lt1>
        <a:srgbClr val="FFFFFF"/>
      </a:lt1>
      <a:dk2>
        <a:srgbClr val="3A3838"/>
      </a:dk2>
      <a:lt2>
        <a:srgbClr val="E7E6E6"/>
      </a:lt2>
      <a:accent1>
        <a:srgbClr val="00A9BE"/>
      </a:accent1>
      <a:accent2>
        <a:srgbClr val="48A844"/>
      </a:accent2>
      <a:accent3>
        <a:srgbClr val="F58220"/>
      </a:accent3>
      <a:accent4>
        <a:srgbClr val="FFCB1F"/>
      </a:accent4>
      <a:accent5>
        <a:srgbClr val="566199"/>
      </a:accent5>
      <a:accent6>
        <a:srgbClr val="5D1E79"/>
      </a:accent6>
      <a:hlink>
        <a:srgbClr val="ED1955"/>
      </a:hlink>
      <a:folHlink>
        <a:srgbClr val="6CC8C2"/>
      </a:folHlink>
    </a:clrScheme>
    <a:fontScheme name="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145312F99AF478FBB52272A839284" ma:contentTypeVersion="19" ma:contentTypeDescription="Create a new document." ma:contentTypeScope="" ma:versionID="8ae05fd41a183399f09cf6ddfe9f440f">
  <xsd:schema xmlns:xsd="http://www.w3.org/2001/XMLSchema" xmlns:xs="http://www.w3.org/2001/XMLSchema" xmlns:p="http://schemas.microsoft.com/office/2006/metadata/properties" xmlns:ns2="598882a7-c42a-4428-b466-5bceabf5aa17" xmlns:ns3="67a7460a-3917-47ab-b998-636704399f3f" targetNamespace="http://schemas.microsoft.com/office/2006/metadata/properties" ma:root="true" ma:fieldsID="b8fe14fd4b5fa607245becb264686ac8" ns2:_="" ns3:_="">
    <xsd:import namespace="598882a7-c42a-4428-b466-5bceabf5aa17"/>
    <xsd:import namespace="67a7460a-3917-47ab-b998-636704399f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82a7-c42a-4428-b466-5bceabf5a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be5e93-175e-4394-b5e0-347b753025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7460a-3917-47ab-b998-636704399f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2012d4-0942-4f49-a200-152b5aa8e69c}" ma:internalName="TaxCatchAll" ma:showField="CatchAllData" ma:web="67a7460a-3917-47ab-b998-636704399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a7460a-3917-47ab-b998-636704399f3f" xsi:nil="true"/>
    <lcf76f155ced4ddcb4097134ff3c332f xmlns="598882a7-c42a-4428-b466-5bceabf5aa17">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rqqePCF+ADiNPiOJJW8+hwq7Q==">CgMxLjAyCGguZ2pkZ3hzOAByITFGZC1XTzFKWTFlck9MUWJfekhLVE9VQ21OYzdQdDA2cA==</go:docsCustomData>
</go:gDocsCustomXmlDataStorage>
</file>

<file path=customXml/itemProps1.xml><?xml version="1.0" encoding="utf-8"?>
<ds:datastoreItem xmlns:ds="http://schemas.openxmlformats.org/officeDocument/2006/customXml" ds:itemID="{EB725046-F44E-47D6-9FF8-9A0E2852E2E2}">
  <ds:schemaRefs>
    <ds:schemaRef ds:uri="http://schemas.microsoft.com/sharepoint/v3/contenttype/forms"/>
  </ds:schemaRefs>
</ds:datastoreItem>
</file>

<file path=customXml/itemProps2.xml><?xml version="1.0" encoding="utf-8"?>
<ds:datastoreItem xmlns:ds="http://schemas.openxmlformats.org/officeDocument/2006/customXml" ds:itemID="{595A899A-4B0E-4BF0-A1DC-2EF88D70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82a7-c42a-4428-b466-5bceabf5aa17"/>
    <ds:schemaRef ds:uri="67a7460a-3917-47ab-b998-636704399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4C336-A2BA-4CB6-8B9F-07580FA6447C}">
  <ds:schemaRefs>
    <ds:schemaRef ds:uri="http://schemas.microsoft.com/office/2006/metadata/properties"/>
    <ds:schemaRef ds:uri="http://schemas.microsoft.com/office/infopath/2007/PartnerControls"/>
    <ds:schemaRef ds:uri="67a7460a-3917-47ab-b998-636704399f3f"/>
    <ds:schemaRef ds:uri="598882a7-c42a-4428-b466-5bceabf5aa1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4258</Words>
  <Characters>23680</Characters>
  <Application>Microsoft Office Word</Application>
  <DocSecurity>0</DocSecurity>
  <Lines>763</Lines>
  <Paragraphs>367</Paragraphs>
  <ScaleCrop>false</ScaleCrop>
  <Company>Activate Learning</Company>
  <LinksUpToDate>false</LinksUpToDate>
  <CharactersWithSpaces>27571</CharactersWithSpaces>
  <SharedDoc>false</SharedDoc>
  <HLinks>
    <vt:vector size="6" baseType="variant">
      <vt:variant>
        <vt:i4>4390918</vt:i4>
      </vt:variant>
      <vt:variant>
        <vt:i4>0</vt:i4>
      </vt:variant>
      <vt:variant>
        <vt:i4>0</vt:i4>
      </vt:variant>
      <vt:variant>
        <vt:i4>5</vt:i4>
      </vt:variant>
      <vt:variant>
        <vt:lpwstr>https://he.activatelearning.ac.uk/educational-gain-model/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Hunt</dc:creator>
  <cp:lastModifiedBy>Bill Hunt</cp:lastModifiedBy>
  <cp:revision>3</cp:revision>
  <dcterms:created xsi:type="dcterms:W3CDTF">2025-10-28T15:30:00Z</dcterms:created>
  <dcterms:modified xsi:type="dcterms:W3CDTF">2025-10-28T15:30:00Z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0x01010073C145312F99AF478FBB52272A839284</vt:lpwstr>
  </property>
  <property fmtid="{D5CDD505-2E9C-101B-9397-08002B2CF9AE}" pid="3" name="MediaServiceImageTags">
    <vt:lpwstr>MediaServiceImageTags</vt:lpwstr>
  </property>
</Properties>
</file>